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BG.2018.4 vom 26. Februar 2018</w:t>
      </w:r>
    </w:p>
    <w:p>
      <w:r>
        <w:t>Bundesstrafgericht, 2018-02-26, DE</w:t>
      </w:r>
    </w:p>
    <w:p>
      <w:r>
        <w:rPr>
          <w:b/>
        </w:rPr>
        <w:t xml:space="preserve">Quelle: </w:t>
      </w:r>
      <w:r>
        <w:t>https://mcp.opencaselaw.ch/entscheid/bstger_BG.2018.4</w:t>
      </w:r>
    </w:p>
    <w:p>
      <w:r>
        <w:t>FR: TPF BG.2018.4 du 26 février 2018</w:t>
      </w:r>
    </w:p>
    <w:p>
      <w:r>
        <w:t>IT: TPF BG.2018.4 del 26 febbraio 2018</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w:t>
      </w:r>
    </w:p>
    <w:p>
      <w:r>
        <w:t>- 4 -</w:t>
      </w:r>
    </w:p>
    <w:p>
      <w:r>
        <w:t>ihren Kanton im Meinungsaustausch und im Verfahren vor der Beschwerde- kammer zu vertreten, bestimmen sich nach dem jeweiligen kantonalen Recht (Art. 14 Abs. 4 StPO).</w:t>
      </w:r>
    </w:p>
    <w:p>
      <w:r>
        <w:rPr>
          <w:b/>
        </w:rPr>
        <w:t>E. 1.2</w:t>
      </w:r>
    </w:p>
    <w:p>
      <w:r>
        <w:t>Das Untersuchungsamt Altstätten ist berechtigt, den Gesuchsteller bei inter- kantonalen Gerichtsstandskonflikten vor der Beschwerdekammer zu vertre- ten (Art. 24 des Einführungsgesetzes zur Schweizerischen Straf- und Ju- gendstrafprozessordnung des Kantons St. Gallen vom 3. August 2010 [EG- StPO/SG; sGS 962.1]). Auf Seiten des Gesuchsgegners steht diese Befug- nis der Oberstaatsanwaltschaft des Kantons Zürich zu (§ 107 Abs. 1 lit. b des Gesetzes über die Gerichts- und Behördenorganisation im Zivil- und Strafprozess des Kantons Zürich vom 10. Mai 2010 [GOG/ZH; LS 211.1]).</w:t>
      </w:r>
    </w:p>
    <w:p>
      <w:r>
        <w:rPr>
          <w:b/>
        </w:rPr>
        <w:t>E. 2.1</w:t>
      </w:r>
    </w:p>
    <w:p>
      <w:r>
        <w:t>Für die Verfolgung und Beurteilung einer Straftat sind die Behörden des Or- tes zuständig, an dem die Tat verübt worden ist (Art. 31 Abs. 1 Satz 1 StPO). Ist die Straftat an mehreren Orten verübt worden, so sind die Behörden des Ortes zuständig, an dem zuerst Verfolgungshandlungen vorgenommen wor- den sind (sog. forum praeventionis; Art. 31 Abs. 2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w:t>
      </w:r>
    </w:p>
    <w:p>
      <w:r>
        <w:t>Bei den in Art. 19 Abs. 1 BetmG umschriebenen verschiedenen Tathandlun- gen handelt es sich zwar jeweils um selbständige Tathandlungen (BGE 137 IV 33 E. 2.1.3 mit Hinweis, Urteil des Bundesgerichts 6B_518/2014 vom</w:t>
      </w:r>
    </w:p>
    <w:p>
      <w:r>
        <w:rPr>
          <w:b/>
        </w:rPr>
        <w:t>E. 2.3</w:t>
      </w:r>
    </w:p>
    <w:p>
      <w:r>
        <w:t>Bei Gewerbsmässigkeit ist von einer juristischen Handlungseinheit auszuge- hen: Mehrere, an sich selbständig strafbare Handlungen werden im Sinne einer natürlichen Handlungsmehrheit durch ihre gesetzliche Umschreibung im Tatbestand (gewerbsmässiges oder bandenmässiges Delikt oder Dauer- delikt) zu einer rechtlichen oder juristischen Handlungseinheit verschmolzen, die auch als Kollektivdelikt bezeichnet wird. Diese rechtliche Einheit besteht objektiv in gleich gelagerten Handlungen, die gegen das gleiche Rechtsgut gerichtet sind, an verschiedenen Orten begangen werden können, in einem zeitlichen Zusammenhang stehen und subjektiv auf einem alle Handlungen umfassenden Entschluss bzw. einem Gesamtvorsatz beruhen (BGE 118 IV 91 E. 4c, 77 IV 7 E. 3; vgl. auch Entscheide des Bundesstrafgerichts BG.2010.14 vom 20. September 2010 E. 2.2; BG.2008.1 vom 28. Ja- nuar 2008 E. 4.4; BG.2007.3 vom 15. Februar 2007 E. 2.1; SCHWERI/BÄNZI- GER, Interkantonale Gerichtsstandsbestimmungen in Strafsachen, 2. Aufl. 2004, N. 83). Alle dem Täter unter dem Titel des gewerbsmässigen Delikts zur Last gelegten Verfehlungen sind gleich zu behandeln und haben als mit der gleichen Strafe bedroht zu gelten. Gemäss Art. 33 Abs. 2 und Art. 34 Abs. 1 Satz 2 StPO sind in einem solchen Fall die Behörden jenes Ortes zur Verfolgung zuständig, wo die Untersuchung zuerst angehoben wurde (Ent- scheid des Bundesstrafgerichts BG.2010.6 vom 6. Juli 2010 E. 3.2, mit Hin- weis auf BGE 112 IV 61 E. 1 S. 63; vgl. auch MOSER/SCHLAPBACH, Basler Kommentar, 2. Aufl. 2014, Art. 34 StPO N. 4).</w:t>
      </w:r>
    </w:p>
    <w:p>
      <w:r>
        <w:rPr>
          <w:b/>
        </w:rPr>
        <w:t>E. 2.4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hierzu den Beschluss des Bundesstrafgerichts BG.2015.47 vom 1. März 2016 E. 2.3 m.w.H.). Es gilt der Grundsatz in dubio pro duriore, wonach im Zweifelsfall auf den für den Beschuldigten ungünstigeren Sach- verhalt abzustellen bzw. das schwerere Delikt anzunehmen ist (vgl. zum Ganzen zuletzt auch den Beschluss des Bundesstrafgerichts BG.2016.28 vom 25. Oktober 2016 E. 2.2 m.w.H.).</w:t>
      </w:r>
    </w:p>
    <w:p>
      <w:r>
        <w:t>- 6 -</w:t>
      </w:r>
    </w:p>
    <w:p>
      <w:r>
        <w:rPr>
          <w:b/>
        </w:rPr>
        <w:t>E. 2.5</w:t>
      </w:r>
    </w:p>
    <w:p>
      <w:r>
        <w:t>Im Hauptpunkt macht der Gesuchsteller geltend, es würden triftige Gründe für ein Abweichen vom gesetzlichen Gerichtsstand vorliegen. So stehe ei- nem jahrelangen, gewerbsmässigen Anbau, Besitz, Vermitteln von sowie Handel mit Cannabis und Marihuana ausschliesslich im Kanton Zürich eine einzige Tathandlung (Einfuhr von 2‘190 neuen Hanfstecklingen) im Kanton St. Gallen gegenüber, und auch dieser Transport hätte nach Zürich führen sollen. Es sei ein reiner Zufall gewesen, dass der Beschuldigte am 14. De- zember 2017 am Grenzübergang Z./SG angehalten und kontrolliert worden sei. Es könne nicht sein, dass eine Staatanwaltschaft, in deren örtlichem Zu- ständigkeitsgebiet sämtliche Grenzübergänge von und nach Osten lägen, gezwungen sei, alle Straftaten, die während einer Grenzkontrolle ans Licht kommen würden, weiterzuführen, wenn ganz klar sämtliche bisherigen Tat- handlungen, und dies während mehreren Jahren, in einem anderen Kanton begangen worden sei. Und es gehe nicht an, eine Staatsanwaltschaft dafür zu bestrafen, dass sie durch eine sorgfältige Strafuntersuchung von Beginn an ihre Arbeit tue (act. 1 S. 4).</w:t>
      </w:r>
    </w:p>
    <w:p>
      <w:r>
        <w:t>Der Gesuchsteller bringt im Eventualstandpunkt vor, dass im Kanton St. Gal- len lediglich eine einfache Widerhandlungen gegen das BetmG vorliegen würde, wenn man einen Gesamtzusammenhang zwischen der Einfuhr der 2‘190 Hanfstecklinge und dem jahrelangen gewerbsmässigen Anbau von so- wie Handel mit Cannabis und Marihuana verneinen wollte. So würden 2‘190 Hanfstecklinge für sich allein gesehen keine Gewerbsmässigkeit nach Art. 19 Abs. 2 lit. c BetmG darstellen. Diesfalls wäre die Zuständigkeit des Kantons Zürich gemäss Art. 34 Abs. 1 erster Satz StPO gegeben (act. 1 S. 5).</w:t>
      </w:r>
    </w:p>
    <w:p>
      <w:r>
        <w:rPr>
          <w:b/>
        </w:rPr>
        <w:t>E. 2.6</w:t>
      </w:r>
    </w:p>
    <w:p>
      <w:r>
        <w:t>Demgegenüber stellt sich der Gesuchsgegner auf den Standpunkt, dass das Abweichen vom gesetzlichen Gerichtsstand die Ausnahme sein soll, wes- halb vorliegend der Gesuchsteller zuständig sei. Er verwirft des Weiteren die Argumentation des Gesuchstellers, wonach im Kanton St. Gallen das weni- ger schwere Delikt verübt worden sei, da es sich bei der Einfuhr der 2‘190 Hanfstecklinge nur um eine einfache Widerhandlung gegen das BetmG handle, weshalb der Kanton Zürich zuständig sei. Bei der Einfuhr einer solch grossen Menge liege der Verdacht eins gewerbsmässigen Handelns – und damit eine mit der gleichen Strafandrohung begangener Tat nahe (act. 3 S. 2).</w:t>
      </w:r>
    </w:p>
    <w:p>
      <w:r>
        <w:rPr>
          <w:b/>
        </w:rPr>
        <w:t>E. 2.7</w:t>
      </w:r>
    </w:p>
    <w:p>
      <w:r>
        <w:t>Vom Gesuchsgegner wird nicht bestritten, dass von einem jahrelangen, ge- werbsmässigen Anbau, Besitz, Vermitteln von sowie Handel mit Cannabis und Marihuana im Kanton Zürich auszugehen ist. Ob der Import der 2‘190</w:t>
      </w:r>
    </w:p>
    <w:p>
      <w:r>
        <w:t>- 7 -</w:t>
      </w:r>
    </w:p>
    <w:p>
      <w:r>
        <w:t>Hanfstecklinge mit den jahrelangen Tathandlungen im Kanton Zürich bei na- türlicher Betrachtung eine auf einem einheitlichen Willensakt beruhende Ein- heit im Sinne eines zusammenhängenden Geschehens bildet, kann vorlie- gend offen gelassen werden. Es liegt jedenfalls auf der Hand, die strafbaren Handlungen im Kanton Zürich und den Import über den Kanton St. Gallen als juristische Handlungseinheit im Sinne eines Kollektivdeliktes zu betrach- ten. Es liegt ein ausreichend enger räumlicher und zeitlicher Zusammenhang zwischen den Betäubungsmitteldelikten in Kanton Zürich und dem Import vor. In den Akten findet sich nichts, was einen umfassenden Gesamtvorsatz ausschliessen würde. Damit stellt der Import vom 14. Dezember 2017 einen integrierten Teil eines Ganzen dar, welches sich als mehrjährigen Anbau, Vermitteln und Handeln mit Marihuana und Cannabis erweist.</w:t>
      </w:r>
    </w:p>
    <w:p>
      <w:r>
        <w:rPr>
          <w:b/>
        </w:rPr>
        <w:t>E. 2.8</w:t>
      </w:r>
    </w:p>
    <w:p>
      <w:r>
        <w:t>Unter diesen Umständen sind in Anwendung von Art. 33 Abs. 2 und Art. 34 Abs. 1 Satz 2 grundsätzlich die Behörden jenes Ortes zur Verfolgung zustän- dig, wo die Untersuchung zuerst angehoben wurde, d.h. vorliegend der Ge- suchsteller.</w:t>
      </w:r>
    </w:p>
    <w:p>
      <w:r>
        <w:t>3.</w:t>
      </w:r>
    </w:p>
    <w:p>
      <w:r>
        <w:t>3.1 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2011 178 E. 3.1 S. 180 f.; jeweils m.w.H.).</w:t>
      </w:r>
    </w:p>
    <w:p>
      <w:r>
        <w:t>3.2 Ein triftiger Grund für das Abweichen vom gesetzlichen Gerichtsstand kann im Schwergewicht der deliktischen Tätigkeit der Beschuldigten liegen (vgl. Art. 38 Abs. 1 und Art. 40 Abs. 3 StPO; hierzu u. a. Beschluss des Bun- desstrafgerichts BG.2012.15 vom 23. Mai 2012 E. 3.1 m.w.H.). Gemäss kon- stanter Praxis kann von einem solchen Schwergewicht ausgegangen wer- den, wenn mehr als zwei Drittel einer grösseren Anzahl von Straftaten auf</w:t>
      </w:r>
    </w:p>
    <w:p>
      <w:r>
        <w:t>- 8 -</w:t>
      </w:r>
    </w:p>
    <w:p>
      <w:r>
        <w:t>einen einzigen Kanton entfallen (BGE 129 IV 202 E. 2 S. 203; siehe auch den Beschluss des Bundesstrafgerichts BG.2011.25 vom 28. Septem- ber 2011 E. 3.2). Das Übergewicht muss dabei so offensichtlich und bedeut- sam sein, dass sich das Abweichen vom gesetzlichen Gerichtsstand gera- dezu aufdrängt (MOSER/SCHLAPBACH, a.a.O., Art. 38 StPO N. 7 f.; GUIDON/ BÄNZIGER, Die aktuelle Rechtsprechung des Bundesstrafgerichts zum inter- kantonalen Gerichtsstand in Strafsachen, in: Jusletter 21. Mai 2007, [Rz 46] m.w.H.). Fehlt es bereits an einer grösseren Zahl der in Frage stehenden Fälle, so drängt sich ein Abweichen vom gesetzlichen Gerichtsstand – sofern nicht weitere triftige prozessökonomische Gesichtspunkte ernsthaft in Be- tracht gezogen werden müssen – nicht auf (siehe hierzu den Beschluss des Bundesstrafgerichts BG.2011.25 vom 28. September 2011 E. 3.2; vgl. auch die Entscheide des Bundesstrafgerichts BG.2009.30 vom 26. Oktober 2009 E. 2.3; BG.2009.23 vom 13. Oktober 2009, E. 2.4; BK_G 038/04 vom 13. Ju- li 2004 E. 5).</w:t>
      </w:r>
    </w:p>
    <w:p>
      <w:r>
        <w:t>3.3 Die für ein ausnahmweises Abweichen vom gesetzlichen Gerichtsstand ent- wickelte Praxis zum "Schwergewicht" betrifft weit überwiegend Fälle von Ver- mögensdelikten (Einbruchsdiebstähle, Bestellungsbetrug etc.) und orientiert sich am Element der reinen Zahl (der einzelnen Vermögensdelikte) und de- ren Zuordnung zu einem Kanton. Wie viele der einzelnen Tathandlungen von Art. 19 Abs. 1 BetmG verschiedene Entwicklungsstufen derselben delikti- schen Tätigkeit von A. darstellen, lässt sich rein von der Anzahl Einzeltaten nicht exakt beziffern. Auch aufgrund der Aussagen von A. selbst (Einver- nahme vom 21. Dezember 2017 und 5. Januar 2018) steht aber fest, dass praktisch die Gesamtheit der Einzelhandlungen über einen nicht unerhebli- chen Zeitraum hinaus im Kanton Zürich stattfand. Selbst wenn die im Kanton Zürich entfallenden Straftaten sich dabei nicht einzeln zählen lassen, ist doch sowohl die Voraussetzung der grossen Anzahl in Frage stehender Fälle er- füllt als auch die Grenze der zwei-Drittel eindeutig überschritten. Ein vom forum praeventionis abweichendes eindeutiges Schwergewicht wäre über- dies auch in Konstellationen möglich, die sich nicht einfach mit einem blos- sen Zählen von Einzelfällen erfassen lassen. Eine solche Konstellation kann – wie gerade der vorliegende Fall deutlich macht – darin liegen, dass ein im eigentlichen Sinn "gesamthaft deliktischer Geschäftsbetrieb" in einem Kan- ton zu verorten ist, während eine dazugehörige Einzelhandlung in einem an- deren Kanton stattfindet. Es ist offensichtlich, dass gemäss dem aktuellen Ermittlungsstand das eindeutige Schwergewicht der Tathandlungen von A. sich auf den Kanton Zürich konzentriert. Bei dieser Ausgangslage alle wei- teren vor Ort vorzunehmenden Untersuchungsschritte rechtshilfeweise vor- nehmen zu lassen, widerspräche der Prozessökonomie. Vorliegend drängt es sich daher geradezu auf, vom gesetzlichen Gerichtsstand abzuweichen.</w:t>
      </w:r>
    </w:p>
    <w:p>
      <w:r>
        <w:t>- 9 -</w:t>
      </w:r>
    </w:p>
    <w:p>
      <w:r>
        <w:rPr>
          <w:b/>
        </w:rPr>
        <w:t>E. 4</w:t>
      </w:r>
    </w:p>
    <w:p>
      <w:r>
        <w:t>Nach dem Gesagten ist das Gesuch gutzuheissen und es sind die Strafbe- hörden des Gesuchsgegners für berechtigt und verpflichtet zu erklären, die A. zur Last gelegten Delikte zu verfolgen und zu beurteilen.</w:t>
      </w:r>
    </w:p>
    <w:p>
      <w:r>
        <w:rPr>
          <w:b/>
        </w:rPr>
        <w:t>E. 5</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