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BG.2018.3 vom 12. Juli 2018</w:t>
      </w:r>
    </w:p>
    <w:p>
      <w:r>
        <w:t>Bundesstrafgericht, 2018-07-12, DE</w:t>
      </w:r>
    </w:p>
    <w:p>
      <w:r>
        <w:rPr>
          <w:b/>
        </w:rPr>
        <w:t xml:space="preserve">Quelle: </w:t>
      </w:r>
      <w:r>
        <w:t>https://mcp.opencaselaw.ch/entscheid/bstger_BG.2018.3</w:t>
      </w:r>
    </w:p>
    <w:p>
      <w:r>
        <w:t>FR: TPF BG.2018.3 du 12 juillet 2018</w:t>
      </w:r>
    </w:p>
    <w:p>
      <w:r>
        <w:t>IT: TPF BG.2018.3 del 12 luglio 2018</w:t>
      </w:r>
    </w:p>
    <w:p>
      <w:pPr>
        <w:pStyle w:val="Heading2"/>
      </w:pPr>
      <w:r>
        <w:t>Regeste</w:t>
      </w:r>
    </w:p>
    <w:p>
      <w:r>
        <w:t>Anfechtung des Gerichtsstands (Art. 41 Abs. 2 StPO).</w:t>
      </w:r>
    </w:p>
    <w:p>
      <w:pPr>
        <w:pStyle w:val="Heading2"/>
      </w:pPr>
      <w:r>
        <w:t>Erwägungen</w:t>
      </w:r>
    </w:p>
    <w:p>
      <w:r>
        <w:rPr>
          <w:b/>
        </w:rPr>
        <w:t>E. 1</w:t>
      </w:r>
    </w:p>
    <w:p>
      <w:r>
        <w:t>Die Staatsanwaltschaft und die Gerichte können aus sachlichen Gründen Strafverfahren trennen oder vereinen (Art. 30 StPO). Die vorliegenden Ver- fahren BB.2018.3 und BB.2018.7 betreffen die gleichen Parteien und inhalt- lich die gleichen Fragestellungen. Es rechtfertigt sich daher, die beiden Ver- fahren BB.2018.3 und BB.2018.7 zu vereinigen.</w:t>
      </w:r>
    </w:p>
    <w:p>
      <w:r>
        <w:rPr>
          <w:b/>
        </w:rPr>
        <w:t>E. 2.1</w:t>
      </w:r>
    </w:p>
    <w:p>
      <w:r>
        <w:t>Will eine Partei die Zuständigkeit der mit dem Strafverfahren befassten Be- hörde anfechten, so hat sie dieser unverzüglich die Überweisung des Falles an die zuständige Strafbehörde zu beantragen (Art. 41 Abs. 1 StPO). Die mit dem Antrag befasste Behörde hat – so dies nicht bereits geschehen ist – einen Meinungsaustausch im Sinne von Art. 39 Abs. 2 StPO einzuleiten oder direkt durch Verfügung ihre eigene Zuständigkeit zu bestätigen (Beschlüsse des Bundesstrafgerichts BG.2012.42 vom 23. Januar 2013 E. 1.1; BG.2012.2 vom 16. März 2012 E. 1.1). Verfügt eine Staatsanwaltschaft, dass sie zuständig sei, so kann diejenige Partei sich innert zehn Tagen bei der Beschwerdekammer des Bundesstraf- gerichts beschweren (Art. 41 Abs. 2 Satz 1 StPO i.V.m. Art. 40 Abs. 2 StPO und Art. 37 Abs. 1 StBOG), die vorbringt, ihr ordentlicher Gerichtsstand (Art. 31–37 StPO i.V.m. Art. 38 Abs. 1 und Art. 41 Abs. 1 StPO) werde miss- achtet (Art. 41 Abs. 2 Satz 2 StPO).</w:t>
      </w:r>
    </w:p>
    <w:p>
      <w:r>
        <w:rPr>
          <w:b/>
        </w:rPr>
        <w:t>E. 2.2</w:t>
      </w:r>
    </w:p>
    <w:p>
      <w:r>
        <w:t>Ob vorliegend ein Überweisungsverfahren durchzuführen gewesen wäre, kann offen bleiben. Der juristisch nicht gewandte Beschwerdeführer handelte der Rechtsmittelbelehrung der Gerichtsstandsverfügung vom 23. Januar 2018 gemäss, auf deren Richtigkeit er hier vertrauen durfte (vgl. BGE 138 I 49 E. 8.3.2). Sind auch die weiteren Voraussetzungen erfüllt, ist daher auf die Beschwerde einzutreten, wenngleich die Verfügung ergangen ist, ohne den Beschwerdeführer anzuhören (vgl. seine Rügen in BG.2018.3 und 7, je act. 1). Eine Gehörsverletzung ist in Einzelfällen wie dem vorliegenden heil- bar (BGE 137 I 195 E. 2.3.2; TPF 2005 177 E. 2.3; Art. 393 Abs. 2 StPO zur Kognition). Der Beschwerdeführer konnte sich im vorliegenden Verfahren zu den Gerichtsstandsverfügungen äussern, wodurch die Gehörsverletzung ge- heilt wurde (zur Auswirkung auf die Kostenverlegung, vgl. Erwägung 4).</w:t>
      </w:r>
    </w:p>
    <w:p>
      <w:r>
        <w:rPr>
          <w:b/>
        </w:rPr>
        <w:t>E. 2.3</w:t>
      </w:r>
    </w:p>
    <w:p>
      <w:r>
        <w:t>Bezüglich der weiteren Eintretensvoraussetzungen: Der Beschwerdeführer ist als Beschuldigter der Strafuntersuchung Partei (vgl. Art. 104 Abs. 1 lit. a StPO) und als solche zur Einreichung einer Beschwerde gegen eine Ge- richtsstandsverfügung legitimiert (Art. 41 Abs. 2 StPO). Die übrigen Eintre- tensvoraussetzungen geben zu keinen Ausführungen Anlass. Auf die Be- schwerde ist einzutreten.</w:t>
      </w:r>
    </w:p>
    <w:p>
      <w:r>
        <w:t>- 6 -</w:t>
      </w:r>
    </w:p>
    <w:p>
      <w:r>
        <w:rPr>
          <w:b/>
        </w:rPr>
        <w:t>E. 3.1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 Verfolgungshandlungen stellen z.B. die Ent- gegennahme einer Strafanzeige oder die Eröffnung einer Strafuntersuchung dar (BAUMGARTNER, Die Zuständigkeit im Strafverfahren, 2014, S. 171 ff.).</w:t>
      </w:r>
    </w:p>
    <w:p>
      <w:r>
        <w:rPr>
          <w:b/>
        </w:rPr>
        <w:t>E. 3.2</w:t>
      </w:r>
    </w:p>
    <w:p>
      <w:r>
        <w:t>Sowohl bei den übernommen Berner Verfahren als auch beim Solothurner Verfahren geht es um Betrug (Art. 146 StGB, Freiheitsstrafe bis zu fünf Jah- ren). Der Kanton Solothurn eröffnete sein Verfahren am 11. Dezember 2013. Es wurde am 9. Januar 2014 im Strafregister eingetragen (Auszug vom 21. Januar 2016, Urk. in BG.2018.7). Das Strafverfahren im Kanton Solo- thurn wurde damit klar vor den Berner Verfahren GGS 17 1275 und GGS 18 175 eröffnet. Diese betreffen Handlungen aus den Jahren 2016 und 2017. Damit werden die beiden übernommenen Berner Verfahren GGS 17 1275 und GGS 18 175 im Kanton Solothurn am ordentlichen Gerichtsstand der ersten Verfolgungshandlungen geführt (Art. 34 Abs. 1 StPO, sog. forum praeventionis).</w:t>
      </w:r>
    </w:p>
    <w:p>
      <w:r>
        <w:rPr>
          <w:b/>
        </w:rPr>
        <w:t>E. 3.3</w:t>
      </w:r>
    </w:p>
    <w:p>
      <w:r>
        <w:t>Weder die Vorbringen des Beschwerdeführers (vgl. obige litera C), noch ein Schwerpunkt der deliktischen Tätigkeit oder soweit erkennbar seine persön- lichen Verhältnisse rechtfertigen im Sinne von Art. 40 Abs. 3 StPO ein Ab- weichen vom ordentlichen Gerichtsstand. Ebenso wenig sind dafür andere triftige Gründe erkennbar.</w:t>
      </w:r>
    </w:p>
    <w:p>
      <w:r>
        <w:rPr>
          <w:b/>
        </w:rPr>
        <w:t>E. 3.4</w:t>
      </w:r>
    </w:p>
    <w:p>
      <w:r>
        <w:t>Damit gehen die Rügen des Beschwerdeführers gegen die Übernahmever- fügungen der StA Solothurn vom 23. Januar 2018 sowie 5. Februar 2018 offensichtlich fehl. Die Beschwerden sind somit abzuweisen. Der Verletzung des rechtlichen Gehörs des Beschwerdeführers (vgl. obige Erwägung 2.2) wird bei den Kostenfolgen Rechnung zu tragen sein. Die Staatsanwaltschaft Solothurn gab dem Beschwerdeführer mit Verfügung vom 29. Mai 2018 ei- nen amtlicher Verteidiger bei. Der vorliegende Beschluss ist daher auch die- sem zu eröffnen.</w:t>
      </w:r>
    </w:p>
    <w:p>
      <w:r>
        <w:rPr>
          <w:b/>
        </w:rPr>
        <w:t>E. 4</w:t>
      </w:r>
    </w:p>
    <w:p>
      <w:r>
        <w:t>Bei der Auferlegung der Gerichtskosten ist zu berücksichtigen, dass der Be- schwerdeführer der Rechtsmittelbelehrung der Gerichtsstandsverfügungen gemäss handelte und der Verletzung seines rechtlichen Gehörs Rechnung zu tragen ist (vgl. TPF 2013 179 E. 1.4). Vorliegend sind daher keine Ge- richtsgebühren zu erheben.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