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BG.2018.25 vom 12. Juli 2018</w:t>
      </w:r>
    </w:p>
    <w:p>
      <w:r>
        <w:t>Bundesstrafgericht, 2018-07-12, DE</w:t>
      </w:r>
    </w:p>
    <w:p>
      <w:r>
        <w:rPr>
          <w:b/>
        </w:rPr>
        <w:t xml:space="preserve">Quelle: </w:t>
      </w:r>
      <w:r>
        <w:t>https://mcp.opencaselaw.ch/entscheid/bstger_BG.2018.25</w:t>
      </w:r>
    </w:p>
    <w:p>
      <w:r>
        <w:t>FR: TPF BG.2018.25 du 12 juillet 2018</w:t>
      </w:r>
    </w:p>
    <w:p>
      <w:r>
        <w:t>IT: TPF BG.2018.25 del 12 luglio 2018</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Der Ausführungsort befindet sich dort, wo der Täter gehandelt hat (BGE 86 IV 222 E. 1).</w:t>
      </w:r>
    </w:p>
    <w:p>
      <w:r>
        <w:rPr>
          <w:b/>
        </w:rPr>
        <w:t>E. 2.2</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w:t>
      </w:r>
    </w:p>
    <w:p>
      <w:r>
        <w:t>- 4 -</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(vgl. hierzu u.a. Beschlüsse des Bun- desstrafgerichts BG.2011.49 vom 19. Januar 2012 E. 2.1; BG.2011.33 vom 28. September 2011 E. 2.2.1; BG.2011.4 vom 10. August 2011 E. 2.2.2).</w:t>
      </w:r>
    </w:p>
    <w:p>
      <w:r>
        <w:rPr>
          <w:b/>
        </w:rPr>
        <w:t>E. 2.3</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Es gilt der Grundsatz in dubio pro duriore, wonach im Zweifelsfall auf den für den Beschuldigten ungünstigeren Sach- verhalt abzustellen bzw. das schwerere Delikt anzunehmen ist (vgl. Be- schluss des Bundesstrafgerichts BG.2014.10 vom 10. Juni 2014 E. 2.1).</w:t>
      </w:r>
    </w:p>
    <w:p>
      <w:r>
        <w:rPr>
          <w:b/>
        </w:rPr>
        <w:t>E. 3.1</w:t>
      </w:r>
    </w:p>
    <w:p>
      <w:r>
        <w:t>Der Gesuchsteller bringt vor, dass in mehreren Kantonen zahlreiche vollen- dete und versuchte Einbruchdiebstähle in drei Serien begangen worden seien. Die erste Serie mit zwei Einbrüchen sei im Juli 2016 in den Kantonen Basel-Landschaft und Basel-Stadt begangen worden. Die zweite Serie mit 14 Einbrüchen sei im Zeitraum zwischen November und Dezember 2016 im Kanton Solothurn erfolgt und die dritte Serie habe im November 2017 bis Januar 2018 in den Kantonen St. Gallen und Thurgau stattgefunden. Diese Sachverhaltsdarstellung sowie der Umstand, dass für die Bestimmung der Zuständigkeit der Vorwurf des bandenmässigen Diebstahls massgebend ist, wird von den Parteien nicht bestritten (act. 1, S. 4 ff.; act. 3; act. 4; act. 5, S. 1 f.; act. 6, S. 1).</w:t>
      </w:r>
    </w:p>
    <w:p>
      <w:r>
        <w:rPr>
          <w:b/>
        </w:rPr>
        <w:t>E. 3.2</w:t>
      </w:r>
    </w:p>
    <w:p>
      <w:r>
        <w:t>Umstritten ist hingegen, ob sämtliche Serien bandenmässig begangen wor- den sind. Der Gesuchsteller verneint die Bandenmässigkeit in Bezug auf die erste Deliktsserie und bringt vor, dass im Rahmen der zweiten Serie bei fünf Einbruchdiebstählen im Kanton Solothurn zwischen 19. Dezember 2016 und 1. Januar 2017 jeweils zwei identische Schuhsohlenprofile unterschiedlicher Schuhe festgestellt worden seien. Aufgrund der in Y./SO festgestellten DNA- Spur von A. geht der Gesuchsteller davon aus, dass eines der beiden Schuh- sohlenprofile A. zugeordnet werden könne. Von den A. vorgeworfenen (bis-</w:t>
      </w:r>
    </w:p>
    <w:p>
      <w:r>
        <w:t>- 5 -</w:t>
      </w:r>
    </w:p>
    <w:p>
      <w:r>
        <w:t>her bekannten) 22 Einbruchdiebstählen seien 14 im Kanton Solothurn er- folgt. Ebenso seien im Kanton Solothurn die ersten Verfolgungshandlungen für die schwerste Tat vorgenommen worden. Der Gesuchsteller nimmt auch bei der dritten Serie aufgrund der sichergestellten Spuren, des zeitlichen Kontextes, der Anhaltung und Aussagen der Beschuldigten Bandenmässig- keit an (act. 1, S. 4 f.).</w:t>
      </w:r>
    </w:p>
    <w:p>
      <w:r>
        <w:rPr>
          <w:b/>
        </w:rPr>
        <w:t>E. 3.3</w:t>
      </w:r>
    </w:p>
    <w:p>
      <w:r>
        <w:t>Nach Art. 139 Ziff. 3 Abs. 2 StGB ist der qualifizierte Tatbestand des Dieb- stahls gegeben, wenn der Dieb den Diebstahl als Mitglied einer Bande aus- führt, die sich zur fortgesetzten Verübung von Raub oder Diebstahl zusam- mengefunden hat.</w:t>
      </w:r>
    </w:p>
    <w:p>
      <w:r>
        <w:t>Nach der Rechtsprechung ist Bandenmässigkeit gegeben, wenn zwei oder mehrere Täter sich mit dem ausdrücklich oder konkludent geäusserten Wil- len zusammenfinden, inskünftig zur Verübung mehrerer selbständiger Straf- taten zusammenzuwirken. Es macht hierbei keinen Unterschied, ob zwei oder mehrere Täter vorhanden sind. Haben sich nur zwei Personen zur fort- gesetzten Begehung von Straftaten zusammengefunden, so kann eine ban- denmässige Tatbegehung nicht ausgeschlossen werden, wenn gewisse Mindestansätze einer Organisation und die Intensität des Zusammenwirkens ein derartiges Ausmass erreichen, dass von einem bis zu einem gewissen Grade fest verbundenen und stabilen Team gesprochen werden kann (BGE 135 IV 158). Ist demgegenüber schon die Zusammenarbeit derart lo- cker, dass von Anfang an nur ein sehr loser und damit völlig unbeständiger Zusammenhalt besteht, liegt keine Bande vor (BGE 124 IV 86 E. 2b).</w:t>
      </w:r>
    </w:p>
    <w:p>
      <w:r>
        <w:rPr>
          <w:b/>
        </w:rPr>
        <w:t>E. 3.4</w:t>
      </w:r>
    </w:p>
    <w:p>
      <w:r>
        <w:t>Gestützt auf die Anzahl und die zeitliche Nähe der zwischen November 2016 und Januar 2018 mutmasslich von den Beschuldigten begangenen Delikte ist die Bandenmässigkeit der zweiten und dritten Deliktsserie zu bejahen. Die beiden Einbruchdiebstähle der erste Serie fanden im Juli 2016 in den Kantonen Basel-Stadt und Basel-Landschaft statt, wobei an beiden Tatorten eine DNA-Spur von A. ermittelt werden konnte. Hinzu kommt, dass am Tatort im Kanton Basel-Stadt zwei verschiedene Schuhspuren gefunden wurden. Die gesamten Umstände und insbesondere der modus operandi der zweiten und dritten Deliktsserie sprechen dafür, dass A. die Einbruchdiebstähle der ersten Serie nicht alleine begangen hat. Daher kann nicht ausgeschlossen werden, dass A. als Mitglied einer Bande, bestehend aus ihm und mindes- tens einer weiteren Person, an den Einbruchdiebstählen in den Kantonen Basel-Stadt und Basel-Landschaft mitgewirkt hat. In Anwendung des Grund- satzes in dubio pro duriore ist damit hinsichtlich aller drei Serien von ban- denmässigem Diebstahl auszugehen.</w:t>
      </w:r>
    </w:p>
    <w:p>
      <w:r>
        <w:t>- 6 -</w:t>
      </w:r>
    </w:p>
    <w:p>
      <w:r>
        <w:rPr>
          <w:b/>
        </w:rPr>
        <w:t>E. 3.5</w:t>
      </w:r>
    </w:p>
    <w:p>
      <w:r>
        <w:t>Bei diesem Ergebnis sind die Behörden jenes Ortes zur Verfolgung und Be- urteilung der Taten zuständig, wo die Untersuchung zuerst angehoben wurde (Art. 33 Abs. 2 und Art. 34 Abs. 1 Satz 2 StPO). Die erste Verfolgungs- handlung erfolgte mit dem Eingang der Strafanzeige der Kantonspolizei Ba- sel-Landschaft vom 24. August 2016 bei der Staatsanwaltschaft Basel-Land- schaft (Verfahrensakten BL, Ordner 1, Lasche 8). Davon ging auch die Staatsanwaltschaft Basel-Landschaft aus, als sie damit die damalige Über- nahme der bei den Staatsanwaltschaften Basel-Stadt und Solothurn hängi- gen Strafverfahren begründete (Verfahrensakten BL, Ordner 2, Lasche 9, Übernahmeverfügungen vom 16. Oktober 2017). Triftige Gründe, die recht- fertigen würden, vom gesetzlichen Gerichtsstand abzuweichen (vgl. Art. 38 Abs. 1 und Art. 40 Abs. 3 StPO; hierzu u.a. Beschluss des Bundesstrafge- richts BG.2012.15 vom 23. Mai 2012 E. 3.1 m.w.H.), liegen nicht vor. Ein Schwergewicht im Sinne der Rechtsprechung ist im Kanton Solothurn nicht zu erkennen (vgl. u.a. BGE 129 IV 202 E. 2 S. 203; Beschluss des Bun- desstrafgerichts BG.2011.25 vom 28. September 2011 E. 3.2). Die gegen- teilige Ansicht des Gesuchstellers geht fehl.</w:t>
      </w:r>
    </w:p>
    <w:p>
      <w:r>
        <w:rPr>
          <w:b/>
        </w:rPr>
        <w:t>E. 4</w:t>
      </w:r>
    </w:p>
    <w:p>
      <w:r>
        <w:t>Nach dem Gesagten liegt der gesetzliche Gerichtsstand hinsichtlich der vor- liegenden Delikte im Kanton Basel-Landschaft. Der Antrag des Gesuchstel- lers ist daher gutzuheissen und es sind die Strafverfolgungsbehörden des Kantons Basel-Landschaft für berechtigt und verpflichtet zu erklären, die B. und A. zur Last gelegten Delikte zu verfolgen und zu beurteilen.</w:t>
      </w:r>
    </w:p>
    <w:p>
      <w:r>
        <w:rPr>
          <w:b/>
        </w:rPr>
        <w:t>E. 5</w:t>
      </w:r>
    </w:p>
    <w:p>
      <w:r>
        <w:t>Es sind keine Gerichtskosten zu erheben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