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BG.2018.22 vom 18. Juli 2018</w:t>
      </w:r>
    </w:p>
    <w:p>
      <w:r>
        <w:t>Bundesstrafgericht, 2018-07-18, FR</w:t>
      </w:r>
    </w:p>
    <w:p>
      <w:r>
        <w:rPr>
          <w:b/>
        </w:rPr>
        <w:t xml:space="preserve">Quelle: </w:t>
      </w:r>
      <w:r>
        <w:t>https://mcp.opencaselaw.ch/entscheid/bstger_BG.2018.22</w:t>
      </w:r>
    </w:p>
    <w:p>
      <w:r>
        <w:t>FR: TPF BG.2018.22 du 18 juillet 2018</w:t>
      </w:r>
    </w:p>
    <w:p>
      <w:r>
        <w:t>IT: TPF BG.2018.22 del 18 luglio 2018</w:t>
      </w:r>
    </w:p>
    <w:p>
      <w:pPr>
        <w:pStyle w:val="Heading2"/>
      </w:pPr>
      <w:r>
        <w:t>Regeste</w:t>
      </w:r>
    </w:p>
    <w:p>
      <w:r>
        <w:t>Conflit de fors (art. 40 al. 2 CPP). Retrait du recours (art. 386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 la requête en fixation de for.</w:t>
      </w:r>
    </w:p>
    <w:p>
      <w:r>
        <w:rPr>
          <w:b/>
        </w:rPr>
        <w:t>E. 2</w:t>
      </w:r>
    </w:p>
    <w:p>
      <w:r>
        <w:t>La cause BG.2018.22 est rayée du rôle.</w:t>
      </w:r>
    </w:p>
    <w:p>
      <w:r>
        <w:rPr>
          <w:b/>
        </w:rPr>
        <w:t>E. 3</w:t>
      </w:r>
    </w:p>
    <w:p>
      <w:r>
        <w:t>Il est statué sans frais.</w:t>
      </w:r>
    </w:p>
    <w:p>
      <w:r>
        <w:t>Bellinzone, le 18 juillet 2018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Ministère public de la République et canton de Genève - Ministère public du canton de Berne, Parquet général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