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BG.2018.21 vom 23. Juli 2018</w:t>
      </w:r>
    </w:p>
    <w:p>
      <w:r>
        <w:t>Bundesstrafgericht, 2018-07-23, FR</w:t>
      </w:r>
    </w:p>
    <w:p>
      <w:r>
        <w:rPr>
          <w:b/>
        </w:rPr>
        <w:t xml:space="preserve">Quelle: </w:t>
      </w:r>
      <w:r>
        <w:t>https://mcp.opencaselaw.ch/entscheid/bstger_BG.2018.21</w:t>
      </w:r>
    </w:p>
    <w:p>
      <w:r>
        <w:t>FR: TPF BG.2018.21 du 23 juillet 2018</w:t>
      </w:r>
    </w:p>
    <w:p>
      <w:r>
        <w:t>IT: TPF BG.2018.21 del 23 luglio 2018</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A défaut d’accord sur le for, le ministère public du canton saisi en premier de la cause soumet la question sans retard et, en tout cas, avant la mise en accusation, à la Cour des plaintes du Tribunal pénal fédéral, qui tranche (art. 40 al. 2 CPP en lien avec l’art. 37 de la loi fédéral du 19 mars 2010 sur l’organisation des autorités pénales de la Confédération [LOAP; RS 173.71] et 19 al. 1 du règlement du 31 août 2010 sur l’organisation du Tribu- nal pénal fédéral [ROTPF; RS 173.713.161]). La condition préalable pour la saisine de la Cour des plaintes consiste dans le fait qu’un échange de vues</w:t>
      </w:r>
    </w:p>
    <w:p>
      <w:r>
        <w:t>- 4 -</w:t>
      </w:r>
    </w:p>
    <w:p>
      <w:r>
        <w:t>ait eu lieu entre les cantons concernés (SCHWERI/BÄNZIGER, Interkantonale Gerichtsstandsbestimmung in Strafsachen, 2e éd. 2004, n° 599).</w:t>
      </w:r>
    </w:p>
    <w:p>
      <w:r>
        <w:rPr>
          <w:b/>
        </w:rPr>
        <w:t>E. 1.2</w:t>
      </w:r>
    </w:p>
    <w:p>
      <w:r>
        <w:t>S’agissant du délai dans lequel l’autorité requérante doit saisir la Cour de céans, il a été décidé de se référer au délai de dix jours prévu à l’art. 396 al. 1 CPP, exception faite du cas dans lequel l’autorité requérante invoque des circonstances exceptionnelles qu’il lui incombe de spécifier (TPF 2011 94 consid. 2.2).</w:t>
      </w:r>
    </w:p>
    <w:p>
      <w:r>
        <w:rPr>
          <w:b/>
        </w:rPr>
        <w:t>E. 1.3</w:t>
      </w:r>
    </w:p>
    <w:p>
      <w:r>
        <w:t>C’est en fonction de la législation de chaque canton que l’on détermine les autorités qui sont légitimées à représenter leur canton dans le cadre de l’échange de vues ou dans le procédure devant la Cour des plaintes (art. 14 al. 4 CPP; KUHN, Commentaire bâlois, Schweizerische Strafprozessord- nung, 2e éd. 2014, n° 9 ad art. 39 et n ° 10 ad art. 40 CPP; SCHMID/JOSITSCH, Handbuch des schweizerischen Strafprozessrechts, 3e éd. 2017, n° 488).</w:t>
      </w:r>
    </w:p>
    <w:p>
      <w:r>
        <w:rPr>
          <w:b/>
        </w:rPr>
        <w:t>E. 1.4</w:t>
      </w:r>
    </w:p>
    <w:p>
      <w:r>
        <w:t>La demande de fixation de for a été déposée, après échanges de vues entre les cantons, dans le délai mentionné plus haut (v. supra consid. 1.2), et par les autorités légitimées à représenter les cantons. La requête a en outre été présentée par les autorités de poursuite pénale saisies en premier lieu, soit le MP-NE. Il y a donc lieu d’entrer en matière sur le fond de la cause.</w:t>
      </w:r>
    </w:p>
    <w:p>
      <w:r>
        <w:rPr>
          <w:b/>
        </w:rPr>
        <w:t>E. 2.1</w:t>
      </w:r>
    </w:p>
    <w:p>
      <w:r>
        <w:t>A teneur de l’art. 42 al. 3 CPP, le for fixé selon les art. 38 à 41 ne peut être modifié que pour de nouveaux justes motifs, comparables à des motifs de révision (PIQUEREZ/MACALUSO, Procédure pénale suisse, 3e éd. 2011, n° 389; voir aussi SCHWERI/BÄNZIGER, Interkantonale Gerichtsstandbestim- mung in Strafsachen, 2e éd., Berne 2004, n° 455). Une telle éventualité doit demeurer exceptionnelle (KUHN, in Commentaire StPO, n° 8 ad art. 42; voir aussi arrêt du Tribunal pénal fédéral BG.2005.30 du 26 janvier 2006 con- sid. 3.2).</w:t>
      </w:r>
    </w:p>
    <w:p>
      <w:r>
        <w:rPr>
          <w:b/>
        </w:rPr>
        <w:t>E. 2.2</w:t>
      </w:r>
    </w:p>
    <w:p>
      <w:r>
        <w:t>En date du 10 octobre 2014, le MP-BE a accepté sa compétence pour pour- suivre et juger les faits reprochés à A.. Un accord est ainsi intervenu entre les cantons concernés sur la question du for (art. 39 al. 2 CPP). Le caractère « provisoire » allégué par le MP-BE ne saurait remettre en cause la validité de cet accord, qui a fait l’objet d’une décision formelle du MP-BE. Cette dé- cision est entrée en force dès lors qu’aucun recours n’a été déposé à son encontre. L’accord n’a ensuite pas été remis en cause par les parties. En effet, bien que le MP-BE ait sollicité le 15 décembre 2014 la reprise du for par les autorités neuchâteloises, celles-ci ont refusé et le MP-BE n’a, selon</w:t>
      </w:r>
    </w:p>
    <w:p>
      <w:r>
        <w:t>- 5 -</w:t>
      </w:r>
    </w:p>
    <w:p>
      <w:r>
        <w:t>ses propres termes, pas persisté dans sa demande de reprise de for (act. 3.1, p. 2). La procédure est de plus toujours ouverte dans le canton de Berne. La suspension intervenue le 29 juin 2016 ne modifie pas cet état de fait.</w:t>
      </w:r>
    </w:p>
    <w:p>
      <w:r>
        <w:rPr>
          <w:b/>
        </w:rPr>
        <w:t>E. 2.3</w:t>
      </w:r>
    </w:p>
    <w:p>
      <w:r>
        <w:t>Selon le MP-BE, l’interpellation du prévenu le 17 février 2018 à la douane du Col-des-Roches (NE) constituerait un fait nouveau et de justes motifs au sens de l’art. 42 al. 3 CPP, justifiant une modification du for en faveur des autorités neuchâteloises. Il ressort de l’audition de A., suite à son interpella- tion le 17 février 2018, qu’il a pris en charge la drogue à Paris et devait se rendre à Z. (BE) où il devait rencontrer le destinataire de la marchandise (dossier MP-NE, p. 5). Le rattachement avec le canton de Neuchâtel se limi- terait en outre au passage de la frontière afin de rejoindre le canton de Berne. Si cet élément est en effet nouveau et permet de relancer l’enquête, il ne saurait être qualifié de significatif et exceptionnel au point de modifier une fixation de for déjà intervenue.</w:t>
      </w:r>
    </w:p>
    <w:p>
      <w:r>
        <w:rPr>
          <w:b/>
        </w:rPr>
        <w:t>E. 2.4</w:t>
      </w:r>
    </w:p>
    <w:p>
      <w:r>
        <w:t>Ainsi, il n’y a pas lieu de revenir sur la fixation de for intervenu le 10 octobre 2014. La requête du MP-NE doit être admise.</w:t>
      </w:r>
    </w:p>
    <w:p>
      <w:r>
        <w:rPr>
          <w:b/>
        </w:rPr>
        <w:t>E. 3</w:t>
      </w:r>
    </w:p>
    <w:p>
      <w:r>
        <w:t>Au vu de ce qui précède, les autorités de poursuite pénale du canton de Berne doivent être déclarées seules compétentes pour poursuivre et juger les infractions à la LStup reprochées à A..</w:t>
      </w:r>
    </w:p>
    <w:p>
      <w:r>
        <w:rPr>
          <w:b/>
        </w:rPr>
        <w:t>E. 4</w:t>
      </w:r>
    </w:p>
    <w:p>
      <w:r>
        <w:t>La présente décision est rendue sans frais (art. 423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