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BG.2018.19 vom 27. Juni 2018</w:t>
      </w:r>
    </w:p>
    <w:p>
      <w:r>
        <w:t>Bundesstrafgericht, 2018-06-27, DE</w:t>
      </w:r>
    </w:p>
    <w:p>
      <w:r>
        <w:rPr>
          <w:b/>
        </w:rPr>
        <w:t xml:space="preserve">Quelle: </w:t>
      </w:r>
      <w:r>
        <w:t>https://mcp.opencaselaw.ch/entscheid/bstger_BG.2018.19</w:t>
      </w:r>
    </w:p>
    <w:p>
      <w:r>
        <w:t>FR: TPF BG.2018.19 du 27 juin 2018</w:t>
      </w:r>
    </w:p>
    <w:p>
      <w:r>
        <w:t>IT: TPF BG.2018.19 del 27 giugno 2018</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w:t>
      </w:r>
    </w:p>
    <w:p>
      <w:r>
        <w:t>- 4 -</w:t>
      </w:r>
    </w:p>
    <w:p>
      <w:r>
        <w:t>Strafdrohung sind die Behörden des Ortes zuständig, an dem zuerst Verfol- gungshandlungen vorgenommen worden sind (Art. 34 Abs. 1 StPO).</w:t>
      </w:r>
    </w:p>
    <w:p>
      <w:r>
        <w:rPr>
          <w:b/>
        </w:rPr>
        <w:t>E. 2.2</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u. a. die Beschlüsse des Bundesstraf- gerichts BG.2016.28 vom 25. Oktober 2016 E. 2.1; BG.2016.19 vom 20. Juli 2016 E. 2.2; BG.2016.14 vom 14. Juni 2016 E. 2.2; jeweils m.w.H.).</w:t>
      </w:r>
    </w:p>
    <w:p>
      <w:r>
        <w:rPr>
          <w:b/>
        </w:rPr>
        <w:t>E. 2.3</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(vgl. Beschluss des Bundesstrafgerichts BG.2015.47 vom 1. März 2016 E. 2.3 m.w.H.). Es gilt der Grundsatz in dubio pro duriore, wonach im Zweifelsfall auf den für den Beschuldigten ungünstigeren Sach-verhalt abzu- stellen bzw. das schwerere Delikt anzunehmen ist (vgl. zum Ganzen auch den Beschluss des Bundesstrafgerichts BG.2016.28 vom 25. Oktober 2016 E. 2.2 m.w.H.).</w:t>
      </w:r>
    </w:p>
    <w:p>
      <w:r>
        <w:rPr>
          <w:b/>
        </w:rPr>
        <w:t>E. 2.4</w:t>
      </w:r>
    </w:p>
    <w:p>
      <w:r>
        <w:t>Wer jemandem eine fremde bewegliche Sache zur Aneignung wegnimmt, um sich oder einen andern damit unrechtmässig zu bereichern, wird mit Frei- heitsstrafe bis zu fünf Jahren oder Geldstrafe bestraft. Der Dieb wird mit Frei- heitsstrafe bis zu zehn Jahren oder Geldstrafe nicht unter 180 Tagessätzen bestraft, wenn er den Diebstahl als Mitglied einer Bande ausführt, die sich zur fortgesetzten Verübung von Raub oder Diebstahl zusammengefunden hat (Art. 139 Ziff. 1 und 3 StGB). Nach der bundesgerichtlichen Rechtspre- chung ist Bandenmässigkeit gegeben, wenn zwei oder mehrere Täter sich mit dem ausdrücklich oder konkludent geäusserten Willen zusammenfinden, inskünftig zur Verübung mehrerer selbständiger, im Einzelnen möglicher- weise noch unbestimmter Straftaten zusammenzuwirken (BGE 135 IV 158 E. 2 S. 158 m.w.H.).</w:t>
      </w:r>
    </w:p>
    <w:p>
      <w:r>
        <w:t>- 5 -</w:t>
      </w:r>
    </w:p>
    <w:p>
      <w:r>
        <w:rPr>
          <w:b/>
        </w:rPr>
        <w:t>E. 3.1</w:t>
      </w:r>
    </w:p>
    <w:p>
      <w:r>
        <w:t>Unter den Parteien ist unbestritten, dass für die Bestimmung der Zuständig- keit des Strafverfahrens der bandenmässige Diebstahl massgeblich ist. Der Gesuchsgegner 1 (Kanton Zürich) bestritt während des Meinungsaus- tauschs allerdings die Qualifikation des ersten Einbruchdiebstahls vom 3.-5. Februar 2017 in Y./ZH, begangen mutmasslich durch J. sowie unbe- kannt mit Meldung bei der Kantonspolizei Zürich am 5. Februar 2017, als bandenmässigen Diebstahl (Gerichtsstandsakten). Im vorliegenden Verfah- ren liess sich der Gesuchsgegner 1 nicht vernehmen (s. act. 10 und 11).</w:t>
      </w:r>
    </w:p>
    <w:p>
      <w:r>
        <w:rPr>
          <w:b/>
        </w:rPr>
        <w:t>E. 3.2</w:t>
      </w:r>
    </w:p>
    <w:p>
      <w:r>
        <w:t>Der Gesuchsteller legt in seinem Gesuch vom 4. Juni 2018 im Einzelnen die Gründe dar, weshalb in Anwendung des Grundsatzes in dubio pro duriore beim ersten Einbruchdiebstahl vom 3.-5. Februar 2017 in Y./ZH von einer bandenmässigen Tatbegehung auszugehen sei (act. 1 S. 10). Der Gesuchs- gegner 1 setzt der Argumentation des Gesuchstellers nichts entgegen. Durchschlagende Gegenargumente sind denn auch nicht ersichtlich, viel- mehr kann den Ausführungen des Gesuchstellers ohne Weiteres gefolgt werden, weshalb, um unnötige Wiederholungen zu vermeiden, vollumfäng- lich darauf verwiesen werden kann. Soweit der Gesuchsgegner 1 auch im vorliegenden Verfahren noch daran festhalten sollte, dass die Beschuldigten in drei getrennten Tätergruppen gehandelt haben sollen, würden diese Ein- wendungen ebenso wenig überzeugen. So führte der Gesuchsgegner 1 während des Meinungsaustauschs selber aus, dass A. an allen drei Serien beteiligt gewesen sei und allenfalls die jeweilige Gruppe angeführt habe (Ge- richtsstandsakten). Die dabei vom Gesuchsgegner 1 gezogenen Schlussfol- gerungen würden bereits im Ansatz dem Grundsatz in dubio pro duriore zu- widerlaufen.</w:t>
      </w:r>
    </w:p>
    <w:p>
      <w:r>
        <w:rPr>
          <w:b/>
        </w:rPr>
        <w:t>E. 3.3</w:t>
      </w:r>
    </w:p>
    <w:p>
      <w:r>
        <w:t>Nach dem Gesagten ist mit Bezug auf den ersten Einbruchdiebstahl vom 3.-5. Februar 2017 in Y./ZH in Anwendung des Grundsatzes in dubio pro duriore von einer qualifizierten Tatbegehung auszugehen. Die ersten Verfol- gungshandlungen für die im gerichtsstandsrechtlichen Sinn schwerste Tat wurden am 5. Februar 2017 im Kanton Zürich vorgenommen.</w:t>
      </w:r>
    </w:p>
    <w:p>
      <w:r>
        <w:rPr>
          <w:b/>
        </w:rPr>
        <w:t>E. 4</w:t>
      </w:r>
    </w:p>
    <w:p>
      <w:r>
        <w:t>Demnach erweist sich das Gesuch als begründet und es sind die Strafver- folgungsbehörden des Kantons Zürich für berechtigt und verpflichtet zu er- klären, die A., B., C., D., E., F., G., H., I. alias I1., J., K. und L. zur Last gelegten Delikte zu verfolgen und zu beurteilen.</w:t>
      </w:r>
    </w:p>
    <w:p>
      <w:r>
        <w:rPr>
          <w:b/>
        </w:rPr>
        <w:t>E. 5</w:t>
      </w:r>
    </w:p>
    <w:p>
      <w:r>
        <w:t>Es sind keine Gerichtskosten zu erheben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