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BG.2018.18 vom 13. September 2018</w:t>
      </w:r>
    </w:p>
    <w:p>
      <w:r>
        <w:t>Bundesstrafgericht, 2018-09-13, DE</w:t>
      </w:r>
    </w:p>
    <w:p>
      <w:r>
        <w:rPr>
          <w:b/>
        </w:rPr>
        <w:t xml:space="preserve">Quelle: </w:t>
      </w:r>
      <w:r>
        <w:t>https://mcp.opencaselaw.ch/entscheid/bstger_BG.2018.18</w:t>
      </w:r>
    </w:p>
    <w:p>
      <w:r>
        <w:t>FR: TPF BG.2018.18 du 13 septembre 2018</w:t>
      </w:r>
    </w:p>
    <w:p>
      <w:r>
        <w:t>IT: TPF BG.2018.18 del 13 settembre 2018</w:t>
      </w:r>
    </w:p>
    <w:p>
      <w:pPr>
        <w:pStyle w:val="Heading2"/>
      </w:pPr>
      <w:r>
        <w:t>Regeste</w:t>
      </w:r>
    </w:p>
    <w:p>
      <w:r>
        <w:t>Anfechtung des Gerichtsstands (Art. 41 Abs. 2 StPO).</w:t>
      </w:r>
    </w:p>
    <w:p>
      <w:pPr>
        <w:pStyle w:val="Heading2"/>
      </w:pPr>
      <w:r>
        <w:t>Erwägungen</w:t>
      </w:r>
    </w:p>
    <w:p>
      <w:r>
        <w:rPr>
          <w:b/>
        </w:rPr>
        <w:t>E. 1</w:t>
      </w:r>
    </w:p>
    <w:p>
      <w:r>
        <w:t>Will eine Partei die Zuständigkeit der mit dem Strafverfahren befassten Be- hörde anfechten, so hat sie dieser unverzüglich die Überweisung des Falles an die zuständige Strafbehörde zu beantragen (Art. 41 Abs. 1 StPO). Die mit dem Antrag befasste Behörde hat – sofern dies nicht bereits geschehen ist – einen Meinungsaustausch im Sinne von Art. 39 Abs. 2 StPO einzuleiten oder direkt durch Verfügung ihre eigene Zuständigkeit zu bestätigen. Eine solche Verfügung bzw. die von den beteiligten Staatsanwaltschaften ge- troffene Entscheidung über den Gerichtsstand können die Parteien innert 10 Tagen bei der Beschwerdekammer des Bundesstrafgerichts anfechten.</w:t>
      </w:r>
    </w:p>
    <w:p>
      <w:r>
        <w:t>Die Eintretensvoraussetzungen geben zu keinen Bemerkungen Anlass (vgl. supra lit. E. bis G.).</w:t>
      </w:r>
    </w:p>
    <w:p>
      <w:r>
        <w:rPr>
          <w:b/>
        </w:rPr>
        <w:t>E. 2</w:t>
      </w:r>
    </w:p>
    <w:p>
      <w:r>
        <w:t>Bei der Beurteilung der Gerichtsstandsfrage muss von der aktuellen Ver- dachtslage ausgegangen werden. Massgeblich ist nicht, was dem Beschul- digten schliesslich nachgewiesen werden kann, sondern der strafrechtlich relevante Sachverhalt, der Gegenstand der Untersuchung bildet, es sei denn, dieser erweise sich von vornherein als haltlos oder sei sicher ausge- schlossen. Der Gerichtsstand bestimmt sich also nicht nach dem, was der Täter begangen hat, sondern nach dem, was ihm vorgeworfen wird, das heisst, was aufgrund der Aktenlage überhaupt in Frage kommt. Dabei stützt sich die Beschwerdekammer auf Fakten, nicht auf Hypothesen (MO- SER/SCHLAPBACH, Basler Kommentar, 2. Aufl. 2014, Art. 34 StPO N.11; GUIDON/BÄNZIGER, Die aktuelle Rechtsprechung des Bundesstrafgerichts zum interkantonalen Gerichtsstand in Strafsachen, Jusletter 21. Mai 2007, [Rz 25] m.w.H.; vgl. nebst anderen den Entscheid des Bundesstrafgerichts BG.2010.12 vom 8. September 2010 E. 2.2 m.w.H.).</w:t>
      </w:r>
    </w:p>
    <w:p>
      <w:r>
        <w:t>- 5 -</w:t>
      </w:r>
    </w:p>
    <w:p>
      <w:r>
        <w:rPr>
          <w:b/>
        </w:rPr>
        <w:t>E. 3.1</w:t>
      </w:r>
    </w:p>
    <w:p>
      <w:r>
        <w:t>Der Beschwerdeführer bestreitet an sich nicht, dass der gesetzliche Ge- richtsstand hinsichtlich der Unbekannt, B. und C. (Verfahren SA2 17 8405 24, SA2 18 2783 24 und SA2 18 2784 24) zur Last gelegten Delikte im Kan- ton Luzern, am Tatort (Art. 31 Abs. 1 StPO), liegt. Nach Auffassung des Be- schwerdeführers dränge es sich vorliegend jedoch auf, einen andern als den in den Art. 31 – 37 StPO vorgesehenen Gerichtsstand festzulegen. Bei den genannten Verfahren und demjenigen gegen ihn selber (Verfahren SA2 17 7547 24 resp. VT.2017.132009) handle es sich um denselben Vorfall in der Tiefgarage in Kriens. Aus Zweckmässigkeitsüberlegungen, wie auch im Sinne der Prozessökonomie und des Beschleunigungsgebotes, müsse da- her auch für die Beurteilung der Verfahren gegen Unbekannt, B. und C. die Staatsanwaltschaft Basel-Stadt für zuständig erklärt werden.</w:t>
      </w:r>
    </w:p>
    <w:p>
      <w:r>
        <w:rPr>
          <w:b/>
        </w:rPr>
        <w:t>E. 3.2</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Die Überlegungen, welche den gesetzlichen Gerichtsstand als unzweckmäs- sig erscheinen lassen, müssen sich gebieterisch aufdrängen. Überdies kann ein Kanton entgegen dem gesetzlichen Gerichtsstand nur für zuständig er- klärt werden resp. sich selber für zuständig erklären, wenn dort tatsächlich ein örtlicher Anknüpfungspunkt besteht (vgl. MOSER/SCHLAPBACH, Schwei- zerische Strafprozessordnung [StPO], Basler Kommentar, 2. Aufl. 2014, Art. 38 StPO N. 2 m.w.H.).</w:t>
      </w:r>
    </w:p>
    <w:p>
      <w:r>
        <w:rPr>
          <w:b/>
        </w:rPr>
        <w:t>E. 3.3</w:t>
      </w:r>
    </w:p>
    <w:p>
      <w:r>
        <w:t>Der Beschwerdeführer, der B. mit einem Messer angegriffen haben soll, ist unbestrittenermassen weder Täter noch Teilnehmer bei den Unbekannt, B. und C. vorgeworfenen Straftaten, sondern macht geltend, Opfer zu sein. Da- bei wird B., C. und einer unbekannten Täterschaft vorgeworfen, dem Be- schwerdeführer eine Schnittverletzung und Beeinträchtigungen mit einem Pfefferspray zugefügt zu haben. Vorliegend präsentiert sich der den Be- schuldigten vorgeworfene Sachverhalt gestützt auf die Akten wie folgt: Auf den Videoaufnahmen der Überwachungskamera in der Tiefgarage am Tatort ist ersichtlich, wie der Beschwerdeführer auf B. zugeht, der eben aus seinem Fahrzeug ausgestiegen ist. Dieser hebt seine Hände nach oben. Der Be- schwerdeführer macht alsdann eine Bewegung in Richtung von B.. Dieser</w:t>
      </w:r>
    </w:p>
    <w:p>
      <w:r>
        <w:t>- 6 -</w:t>
      </w:r>
    </w:p>
    <w:p>
      <w:r>
        <w:t>krümmt sich einen Augenblick lang und rennt dann weg. Der Beschwerde- führer schlägt mit der rechten Hand auf den Kofferraumdeckel eines grauen Autos (Zeitsequenzen 04:59:04-04:59:17). Gemäss Ausführungen der Lu- zerner Polizei sei dem Kofferraumdeckel durch diesen Schlag eine Delle zu- gefügt worden, die mit dem Messerrücken des sichergestellten Tatmessers übereinstimme (Verfahrensakten SA2 18 2783 24, Reg. 4). Weiter ist auf dem Video erkennbar, wie der Beschwerdeführer wegrennt und von einer Person, die einen Pfefferspray gegen den Beschwerdeführer richtet, verfolgt wird. Gemäss Luzerner Polizei handle es sich bei der Person mit dem Pfef- ferspray um C. (Zeitsequenzen 04:59:21-04:59:25). Danach verschwinden die Beteiligten aus dem Blickfeld der Überwachungskamera. Knapp eine Mi- nute später taucht auf den Aufnahmen B. auf, der zusammen mit einer an- deren Person auf der Beifahrerseite seines Autos einsteigt und wegfährt. Weitere Aufnahmen zu den Tatvorwürfen liegen nicht vor.</w:t>
      </w:r>
    </w:p>
    <w:p>
      <w:r>
        <w:t>Bei einer derartigen Konstellation, wo sich Beteiligte gegenseitig Straftaten beschuldigen, die sie im Rahmen der gleichen Auseinandersetzung began- gen haben sollen, besteht offensichtlich ein enger Sachzusammenhang, weshalb die betreffenden Strafverfahren gemäss bundesgerichtlicher Recht- sprechung von einer einzigen Staatsanwaltschaft zu führen sind (BGE 138 IV 29 E. 5.5). Die Vereinigung der Verfahren gegen Unbekannt, B. und C. mit demjenigen gegen den Beschwerdeführer drängt sich nicht nur im Inte- resse der Prozessökonomie auf, sondern liegt insbesondere im Interesse der Wahrung der Verteidigungsrechte aller Beteiligten in ihren jeweilig unter- schiedlichen Funktionen als Beschuldigte einerseits und als Opfer/Strafklä- ger andererseits. Mit einer gemeinsamen Verfolgung und Beurteilung der Strafverfahren werden sich widersprechende Entscheide verhindert, na- mentlich mit Bezug auf die Frage, ob die Beteiligten in Notwehr gehandelt haben.</w:t>
      </w:r>
    </w:p>
    <w:p>
      <w:r>
        <w:rPr>
          <w:b/>
        </w:rPr>
        <w:t>E. 4</w:t>
      </w:r>
    </w:p>
    <w:p>
      <w:r>
        <w:t>Die Beschwerde ist somit gutzuheissen und die angefochtene Verfügung der Oberstaatsanwaltschaft des Kantons Luzern vom 29. Mai 2018 aufzuheben. Der Kanton Basel-Stadt ist somit verpflichtet und berechtigt, die gegen Un- bekannt, B. und C. geführten Strafverfahren zu verfolgen zu beurteilen.</w:t>
      </w:r>
    </w:p>
    <w:p>
      <w:r>
        <w:rPr>
          <w:b/>
        </w:rPr>
        <w:t>E. 5.1</w:t>
      </w:r>
    </w:p>
    <w:p>
      <w:r>
        <w:t>Bei diesen Ausgang des Verfahrens sind keine Gerichtsgebühren zu erhe- ben (Art. 428 Abs. 1 StPO i.V.m. Art. 423 Abs.1 StPO).</w:t>
      </w:r>
    </w:p>
    <w:p>
      <w:r>
        <w:t>- 7 -</w:t>
      </w:r>
    </w:p>
    <w:p>
      <w:r>
        <w:rPr>
          <w:b/>
        </w:rPr>
        <w:t>E. 5.2</w:t>
      </w:r>
    </w:p>
    <w:p>
      <w:r>
        <w:t>Der Beschwerdeführerin hat Anspruch auf Entschädigung seiner Aufwen- dungen für die angemessene Ausübung seiner Verfahrensrechte (Art. 436 Abs. 1 i.V.m. Art. 429 Abs. 1 lit. a StPO). Der Antrag auf unentgeltliche Rechtspflege wird gegenstandslos.</w:t>
      </w:r>
    </w:p>
    <w:p>
      <w:r>
        <w:rPr>
          <w:b/>
        </w:rPr>
        <w:t>E. 5.3</w:t>
      </w:r>
    </w:p>
    <w:p>
      <w:r>
        <w:t>Im Beschwerdeverfahren besteht die Parteientschädigung zur Hauptsache aus den Anwaltskosten, welche das Honorar und die notwendigen Auslagen umfassen (vgl. Art. 11 ff. BStKR). Das Honorar wird nach dem notwendigen und ausgewiesenen Zeitaufwand der Anwältin oder des Anwalts für die Rechtsvertretung bemessen (Art. 12 Abs. 1 BStKR).</w:t>
      </w:r>
    </w:p>
    <w:p>
      <w:r>
        <w:t>Wird mit der einzigen oder letzten Eingabe keine Kostennote eingereicht, so setzt das Gericht das Honorar nach Ermessen fest (Art. 12 Abs. 2 BStKR). Liegt eine Kostennote vor, bedeutet dies aber noch nicht, dass diese unbe- sehen übernommen werden muss. Vielmehr sind nur die notwendigen Kos- ten bzw. der notwendige Zeitaufwand zu ersetzen. Es ist daher zu überprü- fen, in welchem Umfang die in der Kostennote ausgewiesenen Kosten als notwendig für die Vertretung anerkannt werden können (Urteil des Bundes- gerichts 6B_224/2013 vom 27. Januar 2014 E. 2.5 f.).</w:t>
      </w:r>
    </w:p>
    <w:p>
      <w:r>
        <w:rPr>
          <w:b/>
        </w:rPr>
        <w:t>E. 5.4</w:t>
      </w:r>
    </w:p>
    <w:p>
      <w:r>
        <w:t>Der Vertreter des Beschwerdeführers hat mit der Replik eine Honorarnote im Betrag von Fr. 5‘585.-- eingereicht (act. 8.9). Er macht dabei einen Stunden- ansatz von Fr. 200.-- und einen Zeitaufwand von 25.42 Stunden geltend, wo- von 10.25 Stunden für das Abfassen der Beschwerdeschrift und 9 Stunden für die Replik aufgewendet worden seien (act. 8.9). Im vorliegenden Verfah- ren stellten sich weder komplexe Rechtsfragen noch war der zu beurteilende Sachverhalt besonders umfangreich. Da in den Rechtsschriften sodann über weite Passagen Ausführungen zur Untersuchungsführung gemacht werden, die ohne jegliche Relevanz für die Frage der Vereinigung oder Trennung der Strafverfahren sind, rechtfertigt es sich, den Aufwand von 19.25 Stunden für das Abfassen der Rechtsschriften auf 7 Stunden zu kürzen. Das Honorar beträgt somit 2‘634.--, zuzüglich 7.7 % MwSt. sowie Barauslagen von Fr. 101.70. Dies ergibt eine Entschädigung von Fr. 2‘938.50 (inkl. MwSt. und Spesen). Da vorliegend die Verfügung des Beschwerdegegners 1 angefoch- ten wurde und nun mehr aufzuheben ist und da sich der Beschwerdegeg- ner 2 am Beschwerdeverfahren nicht beteiligt hat, ist nur der Beschwerde- gegner 1 zu verpflichten, dem Beschwerdeführer eine Parteientschädigung von Fr. 2‘938.50 auszurichten.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