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BG.2018.13 vom 12. Juni 2018</w:t>
      </w:r>
    </w:p>
    <w:p>
      <w:r>
        <w:t>Bundesstrafgericht, 2018-06-12, DE</w:t>
      </w:r>
    </w:p>
    <w:p>
      <w:r>
        <w:rPr>
          <w:b/>
        </w:rPr>
        <w:t xml:space="preserve">Quelle: </w:t>
      </w:r>
      <w:r>
        <w:t>https://mcp.opencaselaw.ch/entscheid/bstger_BG.2018.13</w:t>
      </w:r>
    </w:p>
    <w:p>
      <w:r>
        <w:t>FR: TPF BG.2018.13 du 12 juin 2018</w:t>
      </w:r>
    </w:p>
    <w:p>
      <w:r>
        <w:t>IT: TPF BG.2018.13 del 12 giugno 2018</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In seiner Gesuchsantwort vom 13. April 2018 bringt der Gesuchsgegner zum Verhältnis des begangenen Diebstahls und dem betrügerischen Missbrauch einer Datenverarbeitungsanlage vor, die Straftat, die das entscheidende Ver- halten erfasse, absorbiere die andere Straftat, wenn sich aufgrund der Um- stände ein enger Zusammenhang zwischen beiden Straftaten ergebe und</w:t>
      </w:r>
    </w:p>
    <w:p>
      <w:r>
        <w:t>- 5 -</w:t>
      </w:r>
    </w:p>
    <w:p>
      <w:r>
        <w:t>das strafbare Verhalten gemäss der einen Strafnorm zur Erfüllung des Tat- bestands der anderen Norm erfolgte. Vorliegend könne davon ausgegangen werden, dass die Beschuldigten mit dem Diebstahl auf die schnelle und leichte Erbeutung von Geld aus waren und nicht damit rechnen konnten, dass sich im gestohlenen Portemonnaie zusätzlich zum Bargeld eine Bank- karte mit passendem Code befinden würde. Dies sei vorliegend lediglich ein Zufall gewesen. Somit liege das entscheidende Verhalten der Beschuldigten in der Aneignung des fremden Eigentums und nicht in der Manipulation eines Bankautomaten, weshalb der betrügerische Missbrauch einer Datenverar- beitungsanlage als mitbestrafte Nachtat zum Diebstahl zu qualifizieren sei. Zur Bestimmung des Gerichtsstandes sei daher ausschliesslich auf die Tat- handlung des Diebstahls abzustellen (act. 3, Ziff. 2.2).</w:t>
      </w:r>
    </w:p>
    <w:p>
      <w:r>
        <w:rPr>
          <w:b/>
        </w:rPr>
        <w:t>E. 2.2</w:t>
      </w:r>
    </w:p>
    <w:p>
      <w:r>
        <w:t>Der Gesuchsgegner bringt weiter vor, der Diebstahl müsse sich gestützt auf die Aussagen des Geschädigten entweder im Zug von Zürich nach Bern oder auf dem Perron im Bahnhof Bern ereignet haben. Der genaue Tatort könne nicht bestimmt werden. A. sagte aus, dass er nach seiner Ankunft im Bahn- hof Bern direkt in den auf dem gegenüberliegenden Gleis stehenden Zug nach Zürich eingestiegen sei. Der Gesuchsgegner vertritt die Meinung, dass aufgrund allgemeiner Lebenserfahrung diese Zeit mit grosser Wahrschein- lichkeit nicht ausreiche, um einen Diebstahl zu begehen, weshalb das Porte- monnaie wohl im Zug von Zürich nach Bern entwendet worden sei und somit folglich weder Zürich noch Bern als Tatorte ausgeschlossen werden können. Gemäss Ziff. 16 der Gerichtsstandsempfehlungen der Schweizerischen Staatsanwälte-Konferenz (nachfolgend „SSK-Gerichtsstandsempfehlun- gen“) bestimme sich der Gerichtsstand bei Taten in öffentlichen Verkehrs- mitteln, wie vorliegend im Zug, in erster Linie nach dem sich aus der Anzeige klar ergebenden Tatort, bei unbekanntem Tatort nach dem Ort der Anzeige, wenn dieser als Tatort nicht ausgeschlossen werden kann, und schliesslich nach dem Einstiegsort, wenn der Ort der Anzeige als Tatort ausgeschlossen werden kann. Da vorliegend der Tatort nicht eindeutig ermittelt werden könne, sei gemäss Ziff. 16 auf den Ort der Anzeige oder allenfalls auf den Einstiegsort abzustellen, was in beiden Fällen Zürich sei. In Anwendung die- ser SSK-Gerichtsstandempfehlung sei die Tat somit am Anzeigeort, in Zü- rich, zu behandeln. Da der Wohnsitz des Geschädigten A. im Kanton Zürich liegt, bestehe auch ein genügender Anknüpfungspunkt (act. 3, Ziff. 2.3).</w:t>
      </w:r>
    </w:p>
    <w:p>
      <w:r>
        <w:rPr>
          <w:b/>
        </w:rPr>
        <w:t>E. 2.3</w:t>
      </w:r>
    </w:p>
    <w:p>
      <w:r>
        <w:t>Folglich kommt der Gesuchsgegner zum Schluss, dass vorliegend den Be- schuldigten mehrere Straftaten vorgeworfen werden, welche in mehreren Kantonen begangen wurden. Der Gerichtsstand bestimme sich somit nach Art. 34 Abs. 1 StPO, wonach derjenige Kanton zuständig ist, in welchem die mit schwerster Strafe bedrohte Straftat begangen wurde bzw. bei gleicher</w:t>
      </w:r>
    </w:p>
    <w:p>
      <w:r>
        <w:t>- 6 -</w:t>
      </w:r>
    </w:p>
    <w:p>
      <w:r>
        <w:t>Strafandrohung, derjenige in welchem die ersten Verfolgungshandlungen vorgenommen wurden. Dies sei vorliegend der Kanton Zürich (act. 3, Ziff. 2.4).</w:t>
      </w:r>
    </w:p>
    <w:p>
      <w:r>
        <w:rPr>
          <w:b/>
        </w:rPr>
        <w:t>E. 3.1</w:t>
      </w:r>
    </w:p>
    <w:p>
      <w:r>
        <w:t>Für die Verfolgung und Beurteilung einer Straftat sind in erster Linie die Be- hörden des Ortes zuständig, an dem die Tat verübt worden ist (Art. 31 Abs. 1 Satz 1 StPO). Der Ausführungsort befindet sich dabei dort, wo der Täter ge- handelt hat (BGE 86 IV 222 E. 1; SCHWERI/BÄNZIGER, Interkantonale Ge- richtsstandsbestimmung in Strafsachen, 2. Aufl. 2004, N. 65; POPP/KES- HELAVA, Basler Kommentar, 3. Aufl. 2013, Art. 8 StGB N. 9). Liegt nur der Ort, an dem der Erfolg der Straftat eingetreten ist, in der Schweiz, so sind die Behörden dieses Ortes zuständig (Satz 2). Ist die Straftat an mehreren Orten verübt worden, so sind die Behörden des Ortes zuständig, an dem zuerst Verfolgungshandlungen vorgenommen worden sind (sog. forum praeventionis; Art. 31 Abs. 2 StPO). Ist eine Straftat von mehreren Mittäte- rinnen oder Mittätern verübt worden, so sind die Behörden des Ortes zustän- 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 hung sind die Behörden des Ortes zuständig, an dem zuerst Verfolgungs- handlungen vorgenommen worden sind (Art. 34 Abs. 1 StPO). Begehen mehrere Beschuldigte zusammen in verschiedenen Kantonen mehrere De- likte, so sind Art. 33 Abs. 2 und Art. 34 Abs. 1 StPO so miteinander zu kom- binieren, dass in der Regel alle Mitwirkenden an dem Orte verfolgt werden, wo von einem Mittäter die mit der schwersten Strafe bedrohte Tat verübt worden ist. Bei gleich schweren Strafdrohungen bestimmt sich der Gerichts- stand für alle Beteiligten nach dem Ort, wo zuerst Verfolgungshandlungen vorgenommen worden sind (vgl. hierzu u.a. die Beschlüsse des Bundesstraf- gerichts BG.2011.49 vom 19. Januar 2012 E. 2.1; BG.2011.33 vom 28. Sep- tember 2011 E. 2.2.1; BG.2011.4 vom 10. August 2011 E. 2.2.2).</w:t>
      </w:r>
    </w:p>
    <w:p>
      <w:r>
        <w:rPr>
          <w:b/>
        </w:rPr>
        <w:t>E. 3.2</w:t>
      </w:r>
    </w:p>
    <w:p>
      <w:r>
        <w:t>Die Beurteilung der Gerichtsstandsfrage richtet sich nach der aktuellen Ver- dachtslage. Massgeblich ist nicht, was dem Beschuldigten letztlich nachge- wiesen werden kann, sondern der Tatbestand, der Gegenstand der Untersu- chung bildet, es sei denn, dieser erweise sich von vornherein als haltlos oder als sicher ausgeschlossen. Der Gerichtsstand bestimmt sich also nicht nach dem, was der Täter begangen hat, sondern nach dem, was ihm vorgeworfen wird, das heisst, was aufgrund der Aktenlage überhaupt in Frage kommt.</w:t>
      </w:r>
    </w:p>
    <w:p>
      <w:r>
        <w:t>- 7 -</w:t>
      </w:r>
    </w:p>
    <w:p>
      <w:r>
        <w:t>Dabei stützt sich die Beschwerdekammer auf Fakten, nicht auf Hypothesen (GUIDON/BÄNZIGER, Die aktuelle Rechtsprechung des Bundesstrafgerichts zum interkantonalen Gerichtsstand in Strafsachen, Jusletter 21. Mai 2007, [Rz 25] m.w.H.; vgl. nebst anderen den Entscheid des Bundesstrafgerichts BG.2010.12 vom 8. September 2010 E. 2.2 m.w.H.). Es gilt der Grundsatz „in dubio pro duriore“, wonach im Zweifelsfall auf den für den Beschuldigten ungünstigeren Sachverhalt abzustellen bzw. das schwerere Delikt anzuneh- men ist (GUIDON/BÄNZIGER, a.a.O., [Rz 44] m.w.H.).</w:t>
      </w:r>
    </w:p>
    <w:p>
      <w:r>
        <w:rPr>
          <w:b/>
        </w:rPr>
        <w:t>E. 3.3</w:t>
      </w:r>
    </w:p>
    <w:p>
      <w:r>
        <w:t>Vorliegend werden den Beschuldigten D. und E. die Begehung des Dieb- stahls zum Nachteil von A. und der anschliessende betrügerische Miss- brauch einer Datenverarbeitungsanlage in Mittäterschaft vorgeworfen. Zum Verhältnis des betrügerischen Missbrauchs einer Datenverarbeitungsanlage gemäss Art. 147 StGB zu den Aneignungsdelikten, wie vorliegend dem Dieb- stahl gemäss Art. 139 StGB, ist Folgendes festzuhalten: Je nach Fall kom- men sowohl echte Konkurrenz zwischen den beiden Delikten, der Diebstahl als mitbestrafte Vortat des Art. 147 StGB und der betrügerische Missbrauch einer Datenverarbeitungsanlage als mitbestrafte Nachtat von Art. 139 StGB in Frage (FIOLKA, Basler Kommentar, 3. Aufl. 2013, Art. 147 StGB N. 45 ff.). Der entsprechende Entscheid erfordert eine Beurteilung der konkreten Um- stände des Einzelfalls (siehe auch BGE 129 IV 22 E. 4.2). Der Gesuchsgeg- ner sieht vorliegend im betrügerischen Missbrauch einer Datenverarbei- tungsanlage, wie bereits ausgeführt, eine mitbestrafte Nachtat des Dieb- stahls. Er begründet dies mit Mutmassungen in Bezug auf die Absichten und Erwartungen der Beschuldigten beim Begehen des Diebstahls des Porte- monnaies. Es sei zur Bestimmung des Gerichtsstandes demnach aus- schliesslich auf die Tathandlung des Diebstahls abzustellen (act. 3, Ziff. 2.2). Es fehlt in den Akten jedoch an jeglichen Hinweisen, die diese Annahmen belegen würden. Da sich die Beschwerdekammer bei der Bestimmung des Gerichtsstandes auf Fakten, nicht auf Hypothesen stützt, vermag die vom Gesuchsgegner vorgebrachte Argumentation nicht zu überzeugen. Entspre- chend dem Grundsatz „in dubio pro duriore“ ist zudem im Zweifelsfall auf den für den Beschuldigten ungünstigeren Sachverhalt abzustellen, was vorlie- gend ebenfalls zum Ergebnis führt, dass die Straftatbestände des Diebstahls und des betrügerischen Missbrauchs einer Datenverarbeitungsanlage Ge- genstand der Strafuntersuchung bilden und Art. 147 StGB somit nicht, wie vom Gesuchsgegner vorgebracht, als mitbestrafte Nachtat von Art. 139 StGB zu qualifizieren ist.</w:t>
      </w:r>
    </w:p>
    <w:p>
      <w:r>
        <w:t>Wie den Akten und den Ausführungen des Gesuchsgegners entnommen werden kann, ist vorliegend unbestritten, dass sich der betrügerische Miss-</w:t>
      </w:r>
    </w:p>
    <w:p>
      <w:r>
        <w:t>- 8 -</w:t>
      </w:r>
    </w:p>
    <w:p>
      <w:r>
        <w:t>brauch von Datenverarbeitungsanlagen in Bern ereignet hat. Unklar ist hin- gegen, wo der Diebstahl des Portemonnaies stattgefunden hat. Bei mehre- ren an verschiedenen Orten begangenen Straftaten sind gemäss Art. 34 Abs. 1 StPO die Behörden des Ortes zuständig, an dem die mit der schwers- ten Strafe bedrohte Tat begangen wurde. Beim Diebstahl und dem betrüge- rischen Missbrauch einer Datenverarbeitungsanlage handelt es sich um Straftatbestände mit gleich hohen Strafandrohungen.</w:t>
      </w:r>
    </w:p>
    <w:p>
      <w:r>
        <w:t>Zum Begehungsort des Diebstahls bringt der Gesuchsgegner vor, dieser sei wahrscheinlich im Zug von Zürich nach Bern erfolgt, da die Zeit, die der Ge- schädigte A. auf dem Perron im Bahnhof Bern verbrachte, aufgrund allge- meiner Lebenserfahrung mit grosser Wahrscheinlichkeit nicht ausreiche, um einen Diebstahl zu begehen. Aus diesem Grund sei Ziff. 16 der SSK-Ge- richtsstandsempfehlungen bei Taten in öffentlichen Verkehrsmitteln zur Be- stimmung des Gerichtsstands heranzuziehen, was zur Folge hätte, dass der Kanton Zürich vorliegend zur Verfolgung der Beschuldigten D. und E. bezüg- lich der ihnen vorgeworfenen Taten berechtigt und verpflichtet wäre. Auch diese Argumentation des Gesuchsgegners stützt sich auf blosse Annahmen, welche sich durch die Akten nicht belegen lassen. Die Tat könnte sich sowohl im Zug von Zürich nach Bern wie auch auf dem Perron im Bahnhof Bern ereignet haben. Immerhin lagen zwischen der fahrplanmässigen Ankunft von A. und dessen fahrplanmässigen Abfahrt 13 Minuten (siehe das Schreiben der Staatsanwaltschaft Winterthur / Unterland vom 6. November 2017; Ge- richtsstandsakten Kanton Zürich). Der Begehungsort des Diebstahls ist vor- liegend nicht zu ermitteln. Unbestritten ist aber, dass sich der betrügerische Missbrauch von Datenverarbeitungsanlagen in Bern ereignet hat. Bei dieser Ausgangslage, in der sich einer der Begehungsorte von verschiedenen mit der schwersten Strafdrohung bedrohten Straftaten nicht ermitteln lässt, ist es sachgerecht, zur Bestimmung des Gerichtsstands auf den (einzigen) be- kannten Begehungsort abzustellen. Da der betrügerische Missbrauch von Datenverarbeitungsanlagen durch D. und E. in Bern begangen wurde, ergibt sich demnach die Zuständigkeit des Kantons Bern sowohl zur Verfolgung des Diebstahls wie auch des betrügerischen Missbrauchs von Datenverar- beitungsanlagen.</w:t>
      </w:r>
    </w:p>
    <w:p>
      <w:r>
        <w:rPr>
          <w:b/>
        </w:rPr>
        <w:t>E. 4</w:t>
      </w:r>
    </w:p>
    <w:p>
      <w:r>
        <w:t>Nach dem Gesagten erweist sich das Gesuch als begründet und es sind die Strafverfolgungsbehörden des Kantons Bern für berechtigt und verpflichtet zu erklären, die den Beschuldigten D. und E. zur Last gelegten Delikte zu verfolgen und zu beurteilen.</w:t>
      </w:r>
    </w:p>
    <w:p>
      <w:r>
        <w:t>- 9 -</w:t>
      </w:r>
    </w:p>
    <w:p>
      <w:r>
        <w:rPr>
          <w:b/>
        </w:rPr>
        <w:t>E. 5</w:t>
      </w:r>
    </w:p>
    <w:p>
      <w:r>
        <w:t>Es ist keine Gerichtsgebühr zu erheben (vgl.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