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BG.2017.5 vom 9. März 2017</w:t>
      </w:r>
    </w:p>
    <w:p>
      <w:r>
        <w:t>Bundesstrafgericht, 2017-03-09, DE</w:t>
      </w:r>
    </w:p>
    <w:p>
      <w:r>
        <w:rPr>
          <w:b/>
        </w:rPr>
        <w:t xml:space="preserve">Quelle: </w:t>
      </w:r>
      <w:r>
        <w:t>https://mcp.opencaselaw.ch/entscheid/bstger_BG.2017.5</w:t>
      </w:r>
    </w:p>
    <w:p>
      <w:r>
        <w:t>FR: TPF BG.2017.5 du 9 mars 2017</w:t>
      </w:r>
    </w:p>
    <w:p>
      <w:r>
        <w:t>IT: TPF BG.2017.5 del 9 marzo 2017</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Ist eine Straftat von mehreren Mittätern verübt worden, so sind die Behörden des Ortes zuständig, an dem zuerst Verfolgungshandlungen vorgenommen worden sind (Art. 33 Abs. 2 StPO).</w:t>
      </w:r>
    </w:p>
    <w:p>
      <w:r>
        <w:rPr>
          <w:b/>
        </w:rPr>
        <w:t>E. 2.2</w:t>
      </w:r>
    </w:p>
    <w:p>
      <w:r>
        <w:t>Gemäss Art. 19 Abs. 1 lit. b, c und d BetmG macht sich strafbar, wer unbefugt Betäubungsmittel lagert, versendet, ein-, aus- oder durchführt bzw. veräus- sert, verordnet, auf andere Weise einem andern verschafft oder in Verkehr bringt respektive besitzt, aufbewahrt, erwirbt oder auf andere Weise erlangt. Nach der Rechtsprechung hat jede der in aArt. 19 Ziff. 1 BetmG (neu Art. 19 Abs. 1 BetmG) aufgeführten Handlungen die Bedeutung eines selbständigen Straftatbestandes, so dass Täter ist und der vollen Strafdrohung untersteht, wer in eigener Person einen dieser gesetzlichen Tatbestände objektiv und subjektiv erfüllt (BGE 6B_1226/2015 vom 5. August 2016, E. 3.3.2 zur Pub- likation vorgesehen und BGE 133 IV 187 E. 3.2).</w:t>
      </w:r>
    </w:p>
    <w:p>
      <w:r>
        <w:t>- 5 -</w:t>
      </w:r>
    </w:p>
    <w:p>
      <w:r>
        <w:t>Die allgemeinen Bestimmungen des Strafgesetzbuches finden auch im Be- täubungsmittelstrafrecht Anwendung, soweit das Betäubungsmittelgesetz nicht selbst Bestimmungen aufstellt (Art. 26 BetmG). Die allgemeinen Re- geln über Täter und Teilnahme gelten daher grundsätzlich auch im Bereich der Betäubungsmitteldelikte (ALBRECHT, Die Strafbestimmungen des Betäu- bungsmittelgesetzes, 2. Aufl., Bern 2007, Art. 19 BetmG N. 160). In diesem Zusammenhang ist jedoch zu beachten, dass Art. 19 Abs. 1 BetmG nahezu alle Unterstützungshandlungen als selbständige Handlungen umschreibt. Aufgrund der hier gegebenen hohen Regelungsdichte besteht kein Bedürf- nis, unterstützende Tatbeiträge über die Regeln der Mittäterschaft, Anstif- tung oder Gehilfenschaft in die eigentliche Tat einzubeziehen. Diese Dichte hat insbesondere eine starke Einschränkung des Anwendungsbereiches von Art. 25 StGB (Gehilfenschaft) zur Folge (BGE 118 IV 397 E. 2c S. 400 zum aArt. 19 Ziff. 1 Abs. 3 und 4 BetmG). Gehilfenschaft liegt nur vor, wenn die objektive Mitwirkung an der Tat eines anderen sich auf einen untergeordne- ten, vom Gesetz nicht als selbständiges Delikt erfassten Beitrag beschränkt (BGE 133 IV 187 E. 3.2; 119 IV 266 E. 3a S. 268; 113 IV 90 E. 2a S. 91). Wer in eigener Person die Merkmale eines der gesetzlichen Straftatbestände von Art. 19 Abs. 1 BetmG objektiv und subjektiv erfüllt, ist Täter und unter- steht als solcher der vollen Strafdrohung (vgl. BGE 106 IV 72 E. 2b S. 73 zum aArt. 19 Ziff. 1 Abs. 3 und 4 BetmG). Nach der Rechtsprechung ist Mit- täter, wer bei der Entschliessung, Planung oder Ausführung eines Delikts vorsätzlich und in massgebender Weise mit anderen Tätern in der Weise zusammenwirkt, dass er als Hauptbeteiligter dasteht. Dabei kommt es darauf an, dass der Tatbeitrag nach den Umständen des konkreten Falles und dem Tatplan für die Ausführung des Deliktes so wesentlich ist, dass sie mit ihm steht oder fällt (BGE 130 IV 58 E. 9.2.1; 120 IV 17 E. 2d S. 23). Bei Betäu- bungsmitteldelikten ist Mittäterschaft in der Regel anzunehmen, wenn der Betreffende einer der Deliktsbegehung dienenden Organisation angehört, in welcher er bestimmte, ihm zugedachte Aufgaben übernimmt. Ist dies der Fall, muss er sich auch fremde, nicht von ihm selber begangene Handlungen zurechnen lassen. In aller Regel dürfte daher in solchen Fällen der Mittäter- schaft gleichzeitig bandenmässiges Handeln gegeben sein, welches dadurch charakterisiert wird, dass eine Tätergemeinschaft zur Ausübung des unerlaubten Betäubungsmittelverkehrs bewusst zusammenwirkt (BGE 118 IV 397 E. 2b S. 399; Urteil des Bundesgerichts 6S.718/2001 vom 12. No- vember 2002, E. 3.1; vgl. auch FINGERHUTH/SCHLEGEL/JUCKER, Kommentar BetmG, 3. Aufl., Zürich 2016, Art. 19 N. 137–153).</w:t>
      </w:r>
    </w:p>
    <w:p>
      <w:r>
        <w:rPr>
          <w:b/>
        </w:rPr>
        <w:t>E. 2.3</w:t>
      </w:r>
    </w:p>
    <w:p>
      <w:r>
        <w:t>Nach der Rechtsprechung zum allgemeinen Strafrecht, welche auch für den Begriff der Bande in Art. 19 Abs. 2 lit. b BetmG gilt, ist Bandenmässigkeit</w:t>
      </w:r>
    </w:p>
    <w:p>
      <w:r>
        <w:t>- 6 -</w:t>
      </w:r>
    </w:p>
    <w:p>
      <w:r>
        <w:t>gegeben, wenn zwei oder mehr Täter sich mit dem ausdrücklich oder kon- kludent geäusserten Willen zusammenfinden, inskünftig zur Verübung meh- rerer selbständiger, im Einzelnen möglicherweise noch unbestimmter Straf- taten zusammenzuwirken. Dieser Zusammenschluss (auch nur zweier Per- sonen) ist es, der den Einzelnen psychisch und physisch stärkt, ihn deshalb besonders gefährlich macht und die Begehung von weiteren Straftaten vo- raussehen lässt (BGE 124 IV 86 E. 2b S. 88 f. mit Verw.; 135 IV 158; FIN- GERHUTH/SCHLEGEL/JUCKER, a.a.O., Art. 19 N. 205).</w:t>
      </w:r>
    </w:p>
    <w:p>
      <w:r>
        <w:rPr>
          <w:b/>
        </w:rPr>
        <w:t>E. 2.4</w:t>
      </w:r>
    </w:p>
    <w:p>
      <w:r>
        <w:t>Der Kanton Zürich (Stellungnahme Oberstaatsanwaltschaft vom 24. Ja- nuar 2017) sieht kein qualifiziertes mittäterschaftliches Zusammenwirken zwischen A. und C. (S. 2 f. Ziff. 1.3 f.). Aus häufigen telefonischen Kontakten in der Nacht und aus Treffen an verschiedenen Orten dürfe nicht ohne wei- teres ein Zusammenwirken bei Drogengeschäften von A. und C. abgeleitet werden, geschweige denn ein qualifiziertes (mittäterschaftliches) Zusam- menwirken beim Drogenhandel. Auch Drogenlieferanten und -abnehmer, zwischen denen keine Teilnahmeform bestehe, müssten in Kontakt treten (act. 3 S. 2). Es lägen zudem keine neuen wichtigen Gründe nach Art. 42 Abs. 3 StPO vor, die nach der Übernahme des Verfahrens gegen A. vom Kanton St. Gal- len durch den Kanton Schaffhausen eine Neubeurteilung gestatten würden (S. 3 Ziff. 2.3; act. 3 S. 3 Ziff. 1). An der Zuständigkeit des Kantons Schaffhausen würde sich auch nichts än- dern, nähme man Mittäterschaft zwischen A. und C. an. Denn dann wäre auch B. als Mittäter anzusehen, gegen den die ersten Verfolgungshandlun- gen eingeleitet wurden, mithin der Kanton Schaffhausen für den ganzen Komplex zuständig würde (S. 4 Ziff. 3.2; act. 3 S. 3 Ziff. 2). Die späte Beantwortung des Gerichtsstandsersuchens durch den Zürcher Staatsanwalt sei sodann nach der Rechtsprechung erst bei einer Untätigkeit von mehr als 3.5 Monaten gerichtsstandsrelevant. Das offizielle Schaffhau- ser Gerichtsstandsersuchen sei denn auch erst am 7. Dezember 2016 er- folgt, die Ablehnung zwei Wochen danach. Die Schaffhauser Staatsanwältin habe sodann zuvor mit E-Mail vom 25. November 2016 eine Konfrontations- einvernahme für den 30. November 2016 angekündet. Da diese hätte ge- richtsstandsrelevant sein können, hätte sich auf Seiten der Staatsanwalt- schaft Zürich-Sihl ein Zuwarten mit dem Entscheid über eine Verfahrens- übernahme bis zum Erhalt einer Kopie des Einvernahmeprotokolls gerecht- fertigt, das sie aber erst mit dem Ersuchen vom 7. Dezember 2016 erhalten habe (S. 4 Ziff. 3.3; act. 3 S. 3 f. Ziff. 3 f.).</w:t>
      </w:r>
    </w:p>
    <w:p>
      <w:r>
        <w:t>- 7 -</w:t>
      </w:r>
    </w:p>
    <w:p>
      <w:r>
        <w:rPr>
          <w:b/>
        </w:rPr>
        <w:t>E. 2.5</w:t>
      </w:r>
    </w:p>
    <w:p>
      <w:r>
        <w:t>Nach Auffassung der Schaffhauser Staatsanwaltschaft sind A. und C. gleich- wertige Beteiligte, wohingegen die Rolle von B. allenfalls als untergeordnet anzusehen sei. Neue wichtige Gründe hätten sich ergeben, welche eine Übernahme des Gerichtsstandes durch den Kanton Zürich erlaubten: Im Zeitpunkt der Verfahrensübernahme durch den Kanton Schaffhausen sei das Ausmass der deliktischen Tätigkeit von A., dessen intensive Beziehun- gen zu Zürich als schwerpunktmässigem Handlungsort sowie die ebenfalls dort ansässigen mutmasslichen Mittäter C. und E. noch nicht bekannt gewe- sen (act. 1 S. 5; Ersuchen um Verfahrensübernahme vom 13. Januar 2017, S. 9 f.).</w:t>
      </w:r>
    </w:p>
    <w:p>
      <w:r>
        <w:rPr>
          <w:b/>
        </w:rPr>
        <w:t>E. 2.6</w:t>
      </w:r>
    </w:p>
    <w:p>
      <w:r>
        <w:t>Es ist im Gerichtsstandsverfahren unbestritten, dass A., C. und B. in Drogen- geschäfte involviert sind und je einzeln wohl Tatbestände des Art. 19 Abs. 1 BetmG erfüllen. Die Telefonüberwachung ergibt Hinweise zu einem Zusam- menwirken in Bezug auf Betäubungsmittel. Weder daraus noch aus den Ein- vernahmen verdichtet sich aber der Verdacht dahingehend, dass eine Orga- nisation mit zugedachten Rollen- und Aufgabenteilungen und dem Willen zu zukünftigen Straftaten vorliegt. Letztlich behauptet auch keiner der am Ge- richtsstandskonflikt beteiligten Kantone, dass eine Bande vorliege, und die Strafuntersuchung wurde im Kanton Zürich wohl aufgrund der grossen Menge nach Art. 19 Abs. 2 BetmG eröffnet. Es liegt höchstens eine punktu- elle Mittäterschaft in Bezug auf eine beschränkte Anzahl von Straftaten vor. Sowohl bei einer parallelen Täterschaft, als auch bei einer echten Mittäter- schaft von den involvierten Personen verbleibt aber die Zuständigkeit für das Strafverfahren gegen A. beim Kanton Schaffhausen. Im ersten Fall weil es sich um keinen Anwendungsfall von Art. 33 StPO handelt, im zweiten Fall, da die ersten Verfolgungshandlungen gegen B. am 9. April 2016 im Kanton Schaffhausen erfolgten (Art. 33 Abs. 2 StPO, forum praeventionis).</w:t>
      </w:r>
    </w:p>
    <w:p>
      <w:r>
        <w:rPr>
          <w:b/>
        </w:rPr>
        <w:t>E. 2.7</w:t>
      </w:r>
    </w:p>
    <w:p>
      <w:r>
        <w:t>Dazu kommt das Folgende: Der Kanton Schaffhausen hat das Verfahren ge- gen A. vom Kanton St. Gallen mit Verfügung vom 29. Juli 2016 übernommen. Ein einmal festgelegter Gerichtsstand kann nach Art. 42 Abs. 3 StPO nur aus neuen wichtigen Gründen geändert werden. Solche können darin bestehen, dass sich aus verfahrensökonomischen Gründen ein Wechsel des Gerichts- stands gebieterisch aufdrängt (KUHN, Basler Kommentar, 2. Aufl., Ba- sel 2014, Art. 42 StPO N. 8). Der Kanton Schaffhausen sieht die wichtigen Gründe darin, dass im Zeitpunkt der Verfahrensübernahme das Ausmass der deliktischen Tätigkeit von A., dessen intensive Beziehungen zu Zürich als schwerpunktmässigem Handlungsort sowie die ebenfalls dort ansässi- gen mutmasslichen Mittäter C. und E. noch nicht bekannt gewesen seien. Dies sind wohl neue Erkenntnisse der Strafuntersuchung. Würden solche</w:t>
      </w:r>
    </w:p>
    <w:p>
      <w:r>
        <w:t>- 8 -</w:t>
      </w:r>
    </w:p>
    <w:p>
      <w:r>
        <w:t>ohne Weiteres zu Handwechseln in der Zuständigkeit führen, wäre die Effi- zienz der Strafverfolgung beeinträchtigt. Sie sind im Gesamtkontext des Sachverhaltes nicht von einer Art, dass sie einen Wechsel gebieterisch auf- drängen.</w:t>
      </w:r>
    </w:p>
    <w:p>
      <w:r>
        <w:rPr>
          <w:b/>
        </w:rPr>
        <w:t>E. 2.8</w:t>
      </w:r>
    </w:p>
    <w:p>
      <w:r>
        <w:t>Verfahrensthema ist weiter, dass der Kanton Zürich nach eigener Zusage zu einer abschliessenden Stellungnahme und trotz Aufforderungen sowie na- hendem Hafttermin die Schaffhauser Verfahrensakten insgesamt rund 6 Wo- chen ohne schriftliche Rückmeldung bis 21. Dezember 2016 bei sich behal- ten hatte, obwohl der Kanton Zürich in einem Haftverfahren zu vordringli- chem Handeln ohne unbegründete Verzögerung verpflichtet gewesen wäre (vgl. Art. 5 Abs. 1 und 2 StPO). Dies genügt aber nicht, um von einer konklu- denten Anerkennung des Gerichtstands im Sinne der Rechtsprechung aus- zugehen (vgl. die Aufarbeitung von BAUMGARTNER, Die Zuständigkeit im Strafverfahren, Diss. Zürich 2014 S. 385 ff.). Indes sind staatliche Organe verpflichtet, nach Treu und Glauben zu handeln (Art. 3 Abs. 2 lit. a StPO; Art. 5 Abs. 3 BV) und das Rechtsmissbrauchsverbot (Art. 3 Abs. 2 lit. b StPO; Art. 2 Abs. 2 ZGB) gilt auch im Gerichtsstandsverfahren, wie in der ganzen Schweizer Rechtsordnung (BGE 131 I 185 E. 3.2.4; THOMMEN, Basler Kom- mentar, N. 67 ff. zu Art. 3 StPO). Das Vorgehen der Zürcher Staatsanwalt- schaft war zwar suboptimal, die Schwelle des offenbaren Rechtsmiss- brauchs ist aber vorliegend nicht erreicht.</w:t>
      </w:r>
    </w:p>
    <w:p>
      <w:r>
        <w:rPr>
          <w:b/>
        </w:rPr>
        <w:t>E. 2.9</w:t>
      </w:r>
    </w:p>
    <w:p>
      <w:r>
        <w:t>Zusammenfassend ist der Kanton Schaffhausen berechtigt und verpflichtet, die A. vorgeworfenen strafbaren Handlungen zu verfolgen und zu beurteilen.</w:t>
      </w:r>
    </w:p>
    <w:p>
      <w:r>
        <w:rPr>
          <w:b/>
        </w:rPr>
        <w:t>E. 3</w:t>
      </w:r>
    </w:p>
    <w:p>
      <w:r>
        <w:t>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