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BG.2017.30 vom 28. Dezember 2017</w:t>
      </w:r>
    </w:p>
    <w:p>
      <w:r>
        <w:t>Bundesstrafgericht, 2017-12-28, DE</w:t>
      </w:r>
    </w:p>
    <w:p>
      <w:r>
        <w:rPr>
          <w:b/>
        </w:rPr>
        <w:t xml:space="preserve">Quelle: </w:t>
      </w:r>
      <w:r>
        <w:t>https://mcp.opencaselaw.ch/entscheid/bstger_BG.2017.30</w:t>
      </w:r>
    </w:p>
    <w:p>
      <w:r>
        <w:t>FR: TPF BG.2017.30 du 28 décembre 2017</w:t>
      </w:r>
    </w:p>
    <w:p>
      <w:r>
        <w:t>IT: TPF BG.2017.30 del 28 dicembre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Einigung (Art. 39 Abs. 2 StPO). Können sich die Strafverfolgungsbehörden</w:t>
      </w:r>
    </w:p>
    <w:p>
      <w:r>
        <w:t>- 4 -</w:t>
      </w:r>
    </w:p>
    <w:p>
      <w:r>
        <w:t>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berechtigt sind, ihren Kanton im Meinungsaustausch und im Verfahren vor der Beschwerdekammer zu vertreten, bestimmen sich nach dem jeweiligen kantonalen Recht (Art. 14 Abs. 4 StPO; vgl. hierzu KUHN, Basler Kommen- tar, 2. Aufl., Basel 2014, Art. 39 StPO N. 9 sowie Art. 40 StPO N. 10; SCHMID, Handbuch des schweizerischen Strafprozessrechts, 2. Aufl., Zü- rich/St. Gallen 2013, N. 488; GALLIANI/MARCELLINI, Codice svizzero di pro- cedura penale [CPP] – Commentario, Zurigo/San Gallo 2010, n. 5 ad art. 40 CPP).</w:t>
      </w:r>
    </w:p>
    <w:p>
      <w:r>
        <w:rPr>
          <w:b/>
        </w:rPr>
        <w:t>E. 1.2</w:t>
      </w:r>
    </w:p>
    <w:p>
      <w:r>
        <w:t>Der stellvertretende Erste Staatsanwalt des Kantons St. Gallen ist berech- tigt, den Gesuchsteller in interkantonalen Gerichtsstandkonflikten vor der Beschwerdekammer des Bundesstrafgerichts zu vertreten (Art. 10 Abs. 1 lit. f i.V.m. Art. 24 des Einführungsgesetzes zur Schweizerischen Straf- und Jugendstrafprozessordnung des Kantons St. Gallen vom 3. August 2010 [EG StPO/SG; sGS 962.1]). Im Kanton Schwyz kommt diese Befugnis der Oberstaatsanwaltschaft (§ 48 lit. e und lit. f der Justizverordnung des Kan- tons Schwyz vom 18. November 2009 [SRSZ 231.110]) zu.</w:t>
      </w:r>
    </w:p>
    <w:p>
      <w:r>
        <w:rPr>
          <w:b/>
        </w:rPr>
        <w:t>E. 1.3</w:t>
      </w:r>
    </w:p>
    <w:p>
      <w:r>
        <w:t>Der Gesuchsteller hat mit dem Gesuchsgegner vor Einreichung des Ge- suchs einen erfolglosen Meinungsaustausch durchgeführt (Verfahrensak- ten SG, Dossier GS). Der durchgeführte Meinungsaustausch ist im Sinne der vorstehenden Erwägungen nicht zu beanstanden.</w:t>
      </w:r>
    </w:p>
    <w:p>
      <w:r>
        <w:t>Auf das im Übrigen frist- und formgerechte Gesuch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 drohte Tat begangen worden ist; bei gleicher Strafdrohung sind die Behör- den des Ortes zuständig, an dem zuerst Verfolgungshandlungen vorge- nommen worden sind (Art. 34 Abs. 1 StPO).</w:t>
      </w:r>
    </w:p>
    <w:p>
      <w:r>
        <w:t>- 5 -</w:t>
      </w:r>
    </w:p>
    <w:p>
      <w:r>
        <w:t>Die Anwendung von Art. 34 Abs. 1 StPO setzt voraus, dass eine beschul- digte Person in verschiedenen Kantonen gleichzeitig verfolgt wird (Be- schlüsse des Bundesstrafgerichts BG.2015.7 vom 8. Mai 2015, E. 2.3.2; BG.2015.5 vom 26. März 2015, E. 2.1; BG.2014.32 vom 2. Februar 2015, E. 2.1; BG.2014.31 vom 27. Januar 2015, E. 2.1; MOSER/SCHLAPBACH, Bas- ler Kommentar, 2. Aufl., Art. 34 StPO N. 6; je m.w.H.). Allgemein gilt eine Untersuchung dann als angehoben und ein Täter dann als verfolgt, wenn eine Straf-, Untersuchungs- oder Polizeibehörde durch die Vornahme von Erhebungen oder in anderer Weise zu erkennen gegeben hat, dass sie je- manden (einen bekannten oder noch unbekannten Täter) einer strafbaren Handlung verdächtigt, oder wenn eine solche Handlung wenigstens zum Ge- genstand einer Strafanzeige oder (bei Antragsdelikten) eines Strafantrags gemacht worden ist. Die Untersuchung ist nicht angehoben, solange einem Täter eine Strafverfolgung bloss droht oder in Aussicht steht und die zustän- digen Amtsstellen gegen ihn noch nichts unternommen haben. Die zeitlich erste Untersuchungshandlung muss sich anhand der Akten nachweisen las- sen (TPF 2009 169 E. 2.2; Beschlüsse des Bundesstrafgerichts BG.2011.33 vom 28. September 2011, E. 2.2.2; BG.2011.19 vom 5. August 2011, E. 2.2.2; MOSER/SCHLAPBACH, a.a.O., Art. 34 StPO N. 6; je m.w.H.).</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(vgl. zuletzt u.a. Beschluss des Bun- desstrafgerichts BG.2017.33 vom 1. Dezember 2017, E. 3.3 m.w.H.).</w:t>
      </w:r>
    </w:p>
    <w:p>
      <w:r>
        <w:rPr>
          <w:b/>
        </w:rPr>
        <w:t>E. 2.3</w:t>
      </w:r>
    </w:p>
    <w:p>
      <w:r>
        <w:t>Hat die Beschwerdekammer des Bundesstrafgerichts den Gerichtsstand zu bestimmen, beurteilt sie die dem Beschuldigten vorgeworfenen Handlungen frei, unbesehen der rechtlichen Würdigung durch die kantonalen Strafunter- suchungsbehörden. Dabei geht sie von den Vorwürfen aus, die dem Täter im Zeitpunkt des Verfahrens vor der Beschwerdekammer gemacht werden können (vgl. Beschlüsse des Bundesstrafgerichts BG.2016.32 vom BG.2016.5 vom 11. Januar 2017, E. 22; BG.2015.15 vom 11. Juni 2015, E 1.5). Wenn zu diesem Zeitpunkt der schwerere Tatbestand sicher ausge-</w:t>
      </w:r>
    </w:p>
    <w:p>
      <w:r>
        <w:t>- 6 -</w:t>
      </w:r>
    </w:p>
    <w:p>
      <w:r>
        <w:t>schlossen werden kann, ist er nicht mehr gerichtsstandsrelevant (vgl. Ent- scheide des Bundesstrafgerichts BG.2006.18 vom 12. Mai 2006, E. 2.1 und BK_G 076/04 vom 27. Oktober 2004, E. 3.4).</w:t>
      </w:r>
    </w:p>
    <w:p>
      <w:r>
        <w:rPr>
          <w:b/>
        </w:rPr>
        <w:t>E. 2.4</w:t>
      </w:r>
    </w:p>
    <w:p>
      <w:r>
        <w:t>Von beiden Parteien unbestritten ist, dass A. Widerhandlungen im Sinne von Art. 19 BetmG vorgeworfen werden können. Uneinig sind sie sich indes, ob möglicherweise eine Qualifikation nach Art. 19 Abs. 2 BetmG vorliegen könnte.</w:t>
      </w:r>
    </w:p>
    <w:p>
      <w:r>
        <w:rPr>
          <w:b/>
        </w:rPr>
        <w:t>E. 2.5</w:t>
      </w:r>
    </w:p>
    <w:p>
      <w:r>
        <w:t>Die StA SG bringt vor, dass aufgrund des Sachverhalts, wie er von den sach- bearbeitenden Polizisten der Polizei Schwyz geschildert und zusammenge- fasst wurde, klar ersichtlich sei, dass sich A. des Verbrechens nach Art. 19 Abs. 2 BetmG im Sinne der Gewerbsmässigkeit schuldig gemacht habe und diesbezüglich anzuklagen sei. Bezeichnenderweise habe die StA SZ das Verfahren auch wegen gewerbsmässiger Widerhandlung gegen das BetmG eröffnet (act. 1, S. 3).</w:t>
      </w:r>
    </w:p>
    <w:p>
      <w:r>
        <w:rPr>
          <w:b/>
        </w:rPr>
        <w:t>E. 2.6</w:t>
      </w:r>
    </w:p>
    <w:p>
      <w:r>
        <w:t>Die StA SZ indes erwidert, dass sich der anfängliche Verdacht einer qualifi- zierten Widerhandlung im Sinne von Art. 19 Abs. 2 BetmG im Rahmen des Untersuchungsverfahrens nicht erhärten liess. Es sei nur von Widerhandlun- gen im Sinne von Art. 19 Abs. 1 BetmG auszugehen und nur diese würden Gegenstand der gegen A. zu erhebenden Anklage bilden.</w:t>
      </w:r>
    </w:p>
    <w:p>
      <w:r>
        <w:rPr>
          <w:b/>
        </w:rPr>
        <w:t>E. 2.7</w:t>
      </w:r>
    </w:p>
    <w:p>
      <w:r>
        <w:t>Es ist nachfolgend zu prüfen, ob die dem Beschuldigten vorgeworfenen qua- lifizierten Widerhandlungen nach Art. 19 Abs. 2 BtmG zum gegenwärtigen Zeitpunkt als gerichtsstandsrelevant erachtet werden können.</w:t>
      </w:r>
    </w:p>
    <w:p>
      <w:r>
        <w:rPr>
          <w:b/>
        </w:rPr>
        <w:t>E. 3.1</w:t>
      </w:r>
    </w:p>
    <w:p>
      <w:r>
        <w:t>Gemäss Art. 19 Abs. 2 BetmG liegt ein schwerer Verstoss gegen das Betäu- bungsmittelgesetz im Sinne von Art. 19 Abs. 1 BetmG insbesondere vor, wenn der Täter als Mitglied einer Bande handelt, die sich zur Ausübung des unerlaubten Betäubungsmittelverkehrs zusammengefunden hat (lit. b) oder durch gewerbsmässigen Handel einen grossen Umsatz oder einen erhebli- chen Gewinn erzielt (lit. c).</w:t>
      </w:r>
    </w:p>
    <w:p>
      <w:r>
        <w:rPr>
          <w:b/>
        </w:rPr>
        <w:t>E. 3.2</w:t>
      </w:r>
    </w:p>
    <w:p>
      <w:r>
        <w:t>Nach der Rechtsprechung ist Bandenmässigkeit gegeben, wenn zwei oder mehrere Täter sich mit dem ausdrücklich oder konkludent geäusserten Wil- len zusammenfinden, inskünftig zur Verübung mehrerer selbständiger Straf- taten zusammenzuwirken. Es macht hierbei keinen Unterschied, ob zwei oder mehrere Täter vorhanden sind. Haben sich nur zwei Personen zur fort- gesetzten Begehung von Straftaten zusammengefunden, so kann eine ban- denmässige Tatbegehung nicht ausgeschlossen werden, wenn gewisse</w:t>
      </w:r>
    </w:p>
    <w:p>
      <w:r>
        <w:t>- 7 -</w:t>
      </w:r>
    </w:p>
    <w:p>
      <w:r>
        <w:t>Mindestansätze einer Organisation und die Intensität des Zusammenwirkens ein derartiges Ausmass erreichen, dass von einem bis zu einem gewissen Grade fest verbundenen und stabilen Team gesprochen werden kann. Ist demgegenüber schon die Zusammenarbeit derart locker, dass von Anfang an nur ein sehr loser und damit völlig unbeständiger Zusammenhalt besteht, liegt keine Bande vor (BGE 124 IV 86, 88 f. E. 2b).</w:t>
      </w:r>
    </w:p>
    <w:p>
      <w:r>
        <w:rPr>
          <w:b/>
        </w:rPr>
        <w:t>E. 3.3</w:t>
      </w:r>
    </w:p>
    <w:p>
      <w:r>
        <w:t>Vorliegend ist an eine bandenmässige Zusammenarbeit zu denken, da ver- schiedene Personen an der Drogenlieferung vom 2. März 2017 beteiligt wa- ren.</w:t>
      </w:r>
    </w:p>
    <w:p>
      <w:r>
        <w:rPr>
          <w:b/>
        </w:rPr>
        <w:t>E. 3.4</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w:t>
      </w:r>
    </w:p>
    <w:p>
      <w:r>
        <w:rPr>
          <w:b/>
        </w:rPr>
        <w:t>E. 3.5</w:t>
      </w:r>
    </w:p>
    <w:p>
      <w:r>
        <w:t>Die StA SZ bringt vor, dass sich die qualifizierte Tatbegehung nicht erhärten liess. Gleichzeitig geht jedoch aus den Einvernahmen durch die Schwyzer Kantonspolizei hervor, dass A. keine Angaben über Lieferanten, Abnehmer oder Herkunft des Cannabis machte. Auch wohin die 50 Kg Marihuana schliesslich versendet werden sollten, gab A. nicht preis. A. behauptet, le- diglich beim Transport bzw. der Verpackung dieser einzigen Lieferung vom 2. März 2017 beteiligt gewesen zu sein. Dabei fällt bei der Durchsicht der Einvernahmen von B. durch die Kantonspolizei St. Gallen auf, dass A. und B. seit Jahren gemeinsam in den Marihuanahandel verwickelt sind (Verfah- rensakten SG, Dossier D, D/1).</w:t>
      </w:r>
    </w:p>
    <w:p>
      <w:r>
        <w:rPr>
          <w:b/>
        </w:rPr>
        <w:t>E. 3.6</w:t>
      </w:r>
    </w:p>
    <w:p>
      <w:r>
        <w:t>Bezüglich der Glaubwürdigkeit der Aussagen von A., nur Lieferant gewesen zu sein, geht aus den Verfahrensakten nicht hervor, dass diese gewürdigt wurde. Im Bericht der Kantonspolizei Schwyz wird jedoch festgehalten, dass „A. durch das Auslieferungsverfahren Kenntnis über die Beweise und Indi- zien erlangt [hatte] und gab nur zu, was wir schon wussten.“ Auch in ihrer Gesuchsantwort legt die StA Schwyz nicht dar, wie sie die qualifizierte Wi- derhandlung gegen das BetmG „mit Sicherheit“ ausschliessen konnte. Dazu ist der StA SG beizupflichten, dass eine Aussagenwürdigung bzw. eine</w:t>
      </w:r>
    </w:p>
    <w:p>
      <w:r>
        <w:t>- 8 -</w:t>
      </w:r>
    </w:p>
    <w:p>
      <w:r>
        <w:t>Glaubhaftigkeitswürdigung der Aussagen von A. in den Einvernahmen erfol- gen müsste, insbesondere beachtend, dass A. Einblick hatte in die den Staatsanwaltschaften vorliegenden Informationen. Bis dahin muss die Ban- denmässigkeit ernstlich in Betracht gezogen werden, insbesondere wenn man seine frühere Vorgehensweise im Drogengeschäft berücksichtigt (vgl. Mobiltelefonauswertungen, Verfahrensakten SG, Dossier GS). Dazu kommt, dass A. unbestrittenerweise in grösserem Stil schon bereits früher in Dro- gengeschäfte involviert war. So gibt B. an, er sei an Geschäften mit bis zu einer Tonne Marihuana beteiligt gewesen und er habe dabei mit A. zusam- men gearbeitet (Verfahrensakten SG, Dossier GS). Auch die StA SZ räumt ein (für den Tatzeitraum 2013 bis Oktober 2015), dass „klar ist, dass ein min- destens teilweise mittäterschaftliches Zusammenwirken von A. und B. vor- liegt und A. zur damaligen Zeit erhebliche Gewinne erzielte“ (act. 3.1 , S. 2). Gerade weil A. für das vorliegende Verfahren zu relevanten Informationen die Aussage verweigerte, ist nicht ersichtlich, wie die StA SZ in casu auch eine Qualifizierung nach Art. 19 Abs. 2 BetmG ausschliessen konnte.</w:t>
      </w:r>
    </w:p>
    <w:p>
      <w:r>
        <w:rPr>
          <w:b/>
        </w:rPr>
        <w:t>E. 3.7</w:t>
      </w:r>
    </w:p>
    <w:p>
      <w:r>
        <w:t>Im Rahmen der Bestimmung des Gerichtsstandes gelangt der Grundsatz „in dubio pro duriore“ zur Anwendung, wonach im Zweifelsfall wegen des schwereren Delikts zu untersuchen und anzuklagen ist. Für die Bestimmung des Gerichtsstandes ist demnach die qualifizierte Tatbegehung relevant.</w:t>
      </w:r>
    </w:p>
    <w:p>
      <w:r>
        <w:rPr>
          <w:b/>
        </w:rPr>
        <w:t>E. 3.8</w:t>
      </w:r>
    </w:p>
    <w:p>
      <w:r>
        <w:t>Aufgrund der aktuellen Verdachtslage ist vorliegend die Annahme eines ban- den- und/oder gewerbsmässigen Betäubungsmittelhandel keineswegs als haltlos oder als sicher ausgeschlossen zu betrachten. Damit verfolgen die Kantone Schwyz und St. Gallen gleich schwere Taten.</w:t>
      </w:r>
    </w:p>
    <w:p>
      <w:r>
        <w:rPr>
          <w:b/>
        </w:rPr>
        <w:t>E. 3.9</w:t>
      </w:r>
    </w:p>
    <w:p>
      <w:r>
        <w:t>Bei gleicher Strafandrohung sind die Behörden des Ortes zuständig, an dem zuerst Verfolgungshandlungen vorgenommen worden sind (Art. 34 Abs. 1 StPO). Da die Untersuchung der Taten von A. im Kanton Schwyz zuerst er- öffnet wurde (Verfahrensakten SZ, pag. 9.1.007), hat dieser das beim Kan- ton St. Gallen hängige Verfahren gegen A. zu übernehmen.</w:t>
      </w:r>
    </w:p>
    <w:p>
      <w:r>
        <w:rPr>
          <w:b/>
        </w:rPr>
        <w:t>E. 4</w:t>
      </w:r>
    </w:p>
    <w:p>
      <w:r>
        <w:t>Mithin sind die Strafbehörden des Kantons Schwyz berechtigt und verpflich- tet, die A. zur Last gelegten Straftaten zu verfolgen und zu beurteilen.</w:t>
      </w:r>
    </w:p>
    <w:p>
      <w:r>
        <w:rPr>
          <w:b/>
        </w:rPr>
        <w:t>E. 5</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