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BG.2017.29 vom 5. September 2017</w:t>
      </w:r>
    </w:p>
    <w:p>
      <w:r>
        <w:t>Bundesstrafgericht, 2017-09-05, DE</w:t>
      </w:r>
    </w:p>
    <w:p>
      <w:r>
        <w:rPr>
          <w:b/>
        </w:rPr>
        <w:t xml:space="preserve">Quelle: </w:t>
      </w:r>
      <w:r>
        <w:t>https://mcp.opencaselaw.ch/entscheid/bstger_BG.2017.29</w:t>
      </w:r>
    </w:p>
    <w:p>
      <w:r>
        <w:t>FR: TPF BG.2017.29 du 5 septembre 2017</w:t>
      </w:r>
    </w:p>
    <w:p>
      <w:r>
        <w:t>IT: TPF BG.2017.29 del 5 settembre 2017</w:t>
      </w:r>
    </w:p>
    <w:p>
      <w:pPr>
        <w:pStyle w:val="Heading2"/>
      </w:pPr>
      <w:r>
        <w:t>Regeste</w:t>
      </w:r>
    </w:p>
    <w:p>
      <w:r>
        <w:t>Gerichtsstandsverfügung (Art. 39 Abs. 2 StPO).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wird keine Gerichtsgebühr erhoben.</w:t>
      </w:r>
    </w:p>
    <w:p>
      <w:r>
        <w:t>Bellinzona, 5. September 2017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Staatsanwaltschaft des Kantons Basel-Stadt - Generalstaatsanwaltschaft des Kantons Bern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