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BG.2017.23 vom 21. August 2017</w:t>
      </w:r>
    </w:p>
    <w:p>
      <w:r>
        <w:t>Bundesstrafgericht, 2017-08-21, DE</w:t>
      </w:r>
    </w:p>
    <w:p>
      <w:r>
        <w:rPr>
          <w:b/>
        </w:rPr>
        <w:t xml:space="preserve">Quelle: </w:t>
      </w:r>
      <w:r>
        <w:t>https://mcp.opencaselaw.ch/entscheid/bstger_BG.2017.23</w:t>
      </w:r>
    </w:p>
    <w:p>
      <w:r>
        <w:t>FR: TPF BG.2017.23 du 21 août 2017</w:t>
      </w:r>
    </w:p>
    <w:p>
      <w:r>
        <w:t>IT: TPF BG.2017.23 del 21 agosto 2017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Juli 2017, zu beantragen hat (vgl. Art. 41 Abs. 1 StPO);</w:t>
      </w:r>
    </w:p>
    <w:p>
      <w:r>
        <w:t>- bei dieser Ausgangslage die Übernahmeverfügung vom 21. Juli 2017 kein Anfechtungsobjekt darstellt, welches auf dem Beschwerdeweg einer Prüfung unterzogen werden könnte; auf die Beschwerde daher nicht eingetreten wer- den kann;</w:t>
      </w:r>
    </w:p>
    <w:p>
      <w:r>
        <w:t>- 4 -</w:t>
      </w:r>
    </w:p>
    <w:p>
      <w:r>
        <w:t>- angesichts der unvollständigen Begründung der angefochtenen Verfügung und der damit bestehenden Unsicherheit betreffend den einzuschlagenden Rechtsmittelweg keine Gerichtsgebühren zu erheben sind;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