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BG.2017.22 vom 9. Oktober 2017</w:t>
      </w:r>
    </w:p>
    <w:p>
      <w:r>
        <w:t>Bundesstrafgericht, 2017-10-09, DE</w:t>
      </w:r>
    </w:p>
    <w:p>
      <w:r>
        <w:rPr>
          <w:b/>
        </w:rPr>
        <w:t xml:space="preserve">Quelle: </w:t>
      </w:r>
      <w:r>
        <w:t>https://mcp.opencaselaw.ch/entscheid/bstger_BG.2017.22</w:t>
      </w:r>
    </w:p>
    <w:p>
      <w:r>
        <w:t>FR: TPF BG.2017.22 du 9 octobre 2017</w:t>
      </w:r>
    </w:p>
    <w:p>
      <w:r>
        <w:t>IT: TPF BG.2017.22 del 9 ottobre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w:t>
      </w:r>
    </w:p>
    <w:p>
      <w:r>
        <w:t>- 6 -</w:t>
      </w:r>
    </w:p>
    <w:p>
      <w:r>
        <w:t>von zehn Tagen gemäss Art. 396 Abs. 1 StPO analog anzuwenden (vgl. hierzu u. a. TPF 2011 94 E. 2.2). Die Behörden, welche berechtigt sind, ihren Kanton im Meinungsaustausch und im Verfahren vor der Beschwerdekam- mer zu vertreten, bestimmen sich nach dem jeweiligen kantonalen Recht (Art. 14 Abs. 4 StPO; vgl. hierzu KUHN, Basler Kommentar, 2. Aufl., Basel 2014, Art. 39 StPO N. 9 sowie Art. 40 StPO N. 10; SCHMID, Handbuch des schweizerischen Strafprozessrechts, 2. Aufl., Zürich/St. Gallen 2013, N. 488; GALLIANI/MARCELLINI, Codice svizzero di procedura penale [CPP] – Com- mentario, Zurigo/San Gallo 2010, n. 5 ad art. 40 CPP).</w:t>
      </w:r>
    </w:p>
    <w:p>
      <w:r>
        <w:rPr>
          <w:b/>
        </w:rPr>
        <w:t>E. 1.2</w:t>
      </w:r>
    </w:p>
    <w:p>
      <w:r>
        <w:t>Die Staatsanwaltschaft Basel-Landschaft bzw. deren Erste Staatsanwältin ist berechtigt, den Gesuchsteller bei interkantonalen Gerichtsstandskonflik- ten vor der Beschwerdekammer zu vertreten (Art. 40 Abs. 2 StPO i.V.m. § 7 Abs. 2 lit. b des Einführungsgesetzes zur Schweizerischen Strafprozessord- nung des Kantons Basel-Landschaft vom 12. März 2009 [EG StPO/BL, SGS 250]). Auf Seiten der Gesuchsgegners 1 bis 3 steht diese Befugnis der Generalstaatsanwaltschaft des Kantons Bern (Art. 24 lit. b des Einführungs- gesetzes zur Zivilprozessordnung, zur Strafprozessordnung und zur Jugend- strafprozessordnung des Kantons Bern vom 11. Juni 2009 [EG ZSJ/BE; BSG 271.1]), dem Oberstaatsanwalt des Kantons Solothurn (§ 73 Abs. 1 des Gesetzes über die Gerichtsorganisation des Kantons Solothurn vom 13. März 1977 [GO/SO; BGS 125.12]) und dem Ministère public central des Kantons Waadt zu (Art. 25 Abs. 2 der loi vaudoise sur le Ministère public du 19 mai 2009 [LMPu; RS-VD 173.21]).</w:t>
      </w:r>
    </w:p>
    <w:p>
      <w:r>
        <w:rPr>
          <w:b/>
        </w:rPr>
        <w:t>E. 1.3.1</w:t>
      </w:r>
    </w:p>
    <w:p>
      <w:r>
        <w:t>Der Gesuchsgegner 1 begründete seinen Antrag auf Nichteintreten damit, dass kein abschliessender Meinungsaustausch mit ihm stattgefunden habe (act. 5). Der Gesuchsteller habe mit Gerichtsstandsanfrage vom 5. Juli 2017 den Gang vor Bundesstrafgericht mit keinem Wort erwähnt, ebenso wenig dass es sich bei dieser neuen Anfrage um einen abschliessenden Meinungsaus- tausch handle. Zunächst habe der Gesuchsteller seine Gerichtsstandsan- frage vom 12. Juni 2017 unbeantwortet gelassen. Stattdessen habe er ihm eine weitere Gerichtsstandsanfrage zugestellt, welche sich zumindest teil- weise auf neue Tatsachen gestützt habe. Dabei habe es der Gesuchsteller unterlassen, einen allfällig bevorstehenden Gang an das Bundesstrafgericht anzukündigen. Im Weiteren sei auch auf seine entsprechende Stellung- nahme nicht mehr eingegangen worden. Schliesslich sei das Verhalten des Gesuchstellers insgesamt widersprüchlich und nicht nachvollziehbar. Zu- nächst stelle er sowohl ihm als auch den Gesuchsgegnern 2 und 3 ein</w:t>
      </w:r>
    </w:p>
    <w:p>
      <w:r>
        <w:t>- 7 -</w:t>
      </w:r>
    </w:p>
    <w:p>
      <w:r>
        <w:t>Schreiben mit der Bitte um abschliessende Meinungsäusserung zu. Zudem führe er auch mit dem Kanton Zürich einen abschliessenden Meinungsaus- tausch durch. In der Folge gelange er jedoch nicht, wie zu erwarten, an das Bundesstrafgericht, sondern habe dem Gesuchsgegner 1 eine erneute Ge- richtsstandsanfrage gesandt. Dies jedoch ohne den neuen Meinungsaus- tauch zu Ende zu führen und insbesondere, ohne den weiteren in Frage kom- menden Kantonen Gelegenheit zur Stellungnahme zu geben (act. 5 S. 3).</w:t>
      </w:r>
    </w:p>
    <w:p>
      <w:r>
        <w:t>Weiter macht der Gesuchsgegner 1 geltend, der Gesuchsgegner 3 habe keine Einsicht in die Akten der weiteren beteiligten Kantone gehabt. Daher habe der Gesuchsgegner 3 bereits aus diesem Grund nicht abschliessend zur Gerichtsstandsanfrage Stellung nehmen können. Der Gesuchsgegner 3 habe sodann auf die unübersichtliche Sachlage und die Notwendigkeit der Durchführung eines Sammelverfahrens zwecks weiterer Abklärungen hinge- wiesen. Die Ausführungen des Gesuchsgegners 3 seien unbeantwortet ge- blieben, obwohl deren Wortlaut klarerweise der Annahme eines abgeschlos- senen Meinungsaustauschs entgegenstünde (act. 5 S. 3 f.).</w:t>
      </w:r>
    </w:p>
    <w:p>
      <w:r>
        <w:t>Ferner könne auch der Meinungsaustausch mit dem Gesuchsgegner 2 nicht abgeschlossen sein, zumal diesem ebenfalls keine Gelegenheit zur Stellung- nahme hinsichtlich der Haltung der weiteren in Frage kommenden Kantone gegeben worden sei.</w:t>
      </w:r>
    </w:p>
    <w:p>
      <w:r>
        <w:rPr>
          <w:b/>
        </w:rPr>
        <w:t>E. 1.3.2</w:t>
      </w:r>
    </w:p>
    <w:p>
      <w:r>
        <w:t>Zunächst ist dem Gesuchsgegner 1 entgegen zu halten, dass mit Schreiben vom 11. Mai 2017 der Gesuchsteller ihn ersuchte, einen formellen, ab- schliessenden Meinungsaustausch mit dem Gesuchsgegner 3 in die Wege zu leiten und ihn über dessen Ergebnis zu informieren. Der Gesuchsteller erklärte abschliessend, dass je nach Ausgang des Meinungsaustausches er allenfalls erneut das Bundesstrafgericht anrufen müsse. Soweit der Ge- suchsgegner 1 geltend macht, die Gesuchsgegner 2 und 3 hätten keine Ein- sicht in die Akten gehabt, ist festzuhalten, dass es an diesen Gesuchsgeg- nern gelegen wäre, die Akten anzufordern. Es ist sodann richtig, dass die genannten Gesuchsgegner nicht in die Gerichtsstandsanfrage vom 5. Ju- li 2017 einbezogen wurden. Gleichzeitig steht aber fest, dass diese Anfrage hauptsächlich den Gesuchsgegner 1 betraf. Für die Festlegung des Ge- richtsstands der Gesuchsgegner 2 und 3 war sie von Beginn weg nicht von Bedeutung. Darüber hinaus bleibt festzuhalten, dass sich die Beschwerde- kammer vorliegend bereits zum zweiten Mal mit der vorliegenden Angele- genheit zu befassen hat. Die Gesuchsgegner hatten in diesem Verfahren ausserdem ausreichend Gelegenheit, die Akten einzusehen und Stellung zu nehmen. Insbesondere gebietet es das vorliegend aufgrund der fortdauern- den Untersuchungshaft mehrerer Beschuldigter besonders zu beachtende</w:t>
      </w:r>
    </w:p>
    <w:p>
      <w:r>
        <w:t>- 8 -</w:t>
      </w:r>
    </w:p>
    <w:p>
      <w:r>
        <w:t>Beschleunigungsgebot (vgl. Art. 5 Abs. 2 StPO), die Zuständigkeit nun mit vorliegendem Beschluss festzulegen.</w:t>
      </w:r>
    </w:p>
    <w:p>
      <w:r>
        <w:rPr>
          <w:b/>
        </w:rPr>
        <w:t>E. 1.4.1</w:t>
      </w:r>
    </w:p>
    <w:p>
      <w:r>
        <w:t>Der Gesuchsgegner 1 brachte in formeller Hinsicht sodann vor, dass die letzte Korrespondenz mit den Gesuchsgegnern am 22. Mai 2017 erfolgt sei, soweit der Meinungsaustausch wider Erwarten als geschlossen befunden werden sollte (act. 5 S. 4). Aus diesem Grund sei das Gesuch vom 8. Au- gust 2017 verspätet.</w:t>
      </w:r>
    </w:p>
    <w:p>
      <w:r>
        <w:rPr>
          <w:b/>
        </w:rPr>
        <w:t>E. 1.4.2</w:t>
      </w:r>
    </w:p>
    <w:p>
      <w:r>
        <w:t>Der Gesuchsteller erläutert in seiner Gerichtsanfrage im Einzelnen sein Vor- gehen nach Eingang der letzten Gesuchsantwort vom 22. Mai 2017 (act. 1 S. 3). Darauf kann ohne weiteres verwiesen werden. Für den Fristenlauf ist die Gesuchsantwort des Beschwerdegegners 1 vom 31. Juli 2017 massge- blich, weshalb das vorliegend zu beurteilende Gesuch rechtzeitig gestellt wurde.</w:t>
      </w:r>
    </w:p>
    <w:p>
      <w:r>
        <w:rPr>
          <w:b/>
        </w:rPr>
        <w:t>E. 1.5</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 Zudem sind die für die Ge- 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 chenden Aktenstelle zu versehen sind (s. Beschluss des Bundesstrafge- richts BG.2014.21 vom 29. September 2014, E. 1.3 m.w.H.). Vorliegend wur- den zwar im Gesuch die einzelnen Aktenstücke genau bezeichnet. Soweit es sich dabei allerdings um die Verfahrensakten der Gesuchsgegner han- delte, begnügte sich der Gesuchsteller mit einem allgemeinen Hinweis da- rauf. In diesem Zusammenhang ist zu rügen, dass die eingereichten Verfah- rensakten namentlich der Gesuchsgegner zum Teil weder ein Verzeichnis enthielten noch waren sie übersichtlich geordnet und paginiert.</w:t>
      </w:r>
    </w:p>
    <w:p>
      <w:r>
        <w:t>- 9 -</w:t>
      </w:r>
    </w:p>
    <w:p>
      <w:r>
        <w:rPr>
          <w:b/>
        </w:rPr>
        <w:t>E. 1.6</w:t>
      </w:r>
    </w:p>
    <w:p>
      <w:r>
        <w:t>Die übrigen Eintretensvoraussetzungen geben zu keinen weiteren Bemer- kungen Anlass, weshalb auf das Gesuch einzutreten ist.</w:t>
      </w:r>
    </w:p>
    <w:p>
      <w:r>
        <w:rPr>
          <w:b/>
        </w:rPr>
        <w:t>E. 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 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zuletzt u. a. die Beschlüsse des Bundesstrafgerichts BG.2016.28 vom 25. Oktober 2016, E. 2.1; BG.2016.19 vom 20. Juli 2016, E. 2.2; BG.2016.14 vom 14. Juni 2016, E. 2.2; jeweils m.w.H.).</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(vgl. hierzu den Beschluss des Bundesstrafgerichts BG.2015.47 vom 1. März 2016, E. 2.3 m.w.H.). Es gilt der Grundsatz in dubio pro duriore, wonach im Zweifelsfall auf den für den Beschuldigten ungünstigeren Sach- verhalt abzustellen bzw. das schwerere Delikt anzunehmen ist (vgl. zum Ganzen auch den Beschluss des Bundesstrafgerichts BG.2016.28 vom 25. Oktober 2016, E. 2.2 m.w.H.).</w:t>
      </w:r>
    </w:p>
    <w:p>
      <w:r>
        <w:rPr>
          <w:b/>
        </w:rPr>
        <w:t>E. 2.3</w:t>
      </w:r>
    </w:p>
    <w:p>
      <w:r>
        <w:t>Vorliegend sind sich sowohl der Gesuchsteller als auch alle Gesuchsgegner einig, dass als das den Gerichtsstand bestimmende Delikt der bandenmäs- sig und gewerbsmässig begangene Diebstahl gelten muss. Nach Ansicht</w:t>
      </w:r>
    </w:p>
    <w:p>
      <w:r>
        <w:t>- 10 -</w:t>
      </w:r>
    </w:p>
    <w:p>
      <w:r>
        <w:t>des Gesuchstellers und der Gesuchsgegner 2 und 3 erfolgten die ersten Ver- folgungshandlungen des Gesuchsgegners 1 spätestens am 9. Januar 2017 im Zusammenhang mit dem gleichentags verübten gewerbs- und bande- mässigen Diebstahl in Z./BE (act.1, 3 und 4). Dazu äussert sich der Ge- suchsgegner 1 weder in seiner Gesuchsantwort vom 17. August 2017 noch in seiner Gesuchsreplik vom 1. September 2017, in welcher er auf eine Stel- lungnahme verzichtet hat (act. 5).</w:t>
      </w:r>
    </w:p>
    <w:p>
      <w:r>
        <w:t>In seiner Gerichtsstandskorrespondenz vom 31. Juli 2017 bringt der Ge- suchsgegner 1 vor, dass die Beschuldigten im Wesentlichen in zwei Grup- pen gehandelt hätten. Die eine Gruppe bestehe aus A., B. und C., welche die ihnen vorgeworfenen Diebstähle vorwiegend in dieser Dreierkonstellation in den Kantonen Basel-Land und Solothurn begangen hätte. Die andere Gruppe bestehe aus F., E., H. sowie G., wobei diese jeweils entweder allein oder zu zweit in immer wieder unterschiedlichen Konstellationen in den Kan- tonen Bern und Solothurn gehandelt hätte. A. könne im Kanton Bern lediglich ein Diebstahl gemeinsam begangen mit F. sowie ein Hausfriedensbruch vor- geworfen werden. Gegen C. liege im Kanton Bern nur eine Anzeige wegen Diebstahls vor. Die Beschuldigten B. und D. seien den bernischen Behörden bisher gar nicht bekannt. Eine Verbindung zwischen allen vorgenannten Be- schuldigten im Sinne einer in Mittäterschaft agierenden Bande i.S.v. Art. 33 Abs. 2 StPO sei vorliegend nicht gegeben. Im Kanton Basel-Landschaft würde gegen die Beschuldigten A., B. und C. ein Verfahren wegen gewerbs- und bandenmässigen Diebstahls geführt. Im Kanton Bern hingegen ergäben sich nach wie vor keine Hinweise auf eine bandenmässige Deliktsbegehung. Die im Kanton Bern begangene Delikte seien in unterschiedlichen Konstel- lationen von jeweils ein bis zwei Personen begangen worden. Es sei hier jedoch kein Wille zur fortgesetzten gemeinsamen Deliktsbegehung erkenn- bar. Im Gegenteil erscheine die jeweilige Konstellation des Zusammenwir- kens zufällig und lose. Die Tatsache allein, dass aus einer Gruppe von meh- reren Personen jeweils zwei gemeinsam in immer wechselnder Zusammen- setzung Diebstähle begehen würden, reiche nicht aus, um Bandenmässig- keit anzunehmen. Im Kanton Bern käme höchstens die Qualifikation der Ge- werbsmässigkeit in Frage (Verfahrensakten BE).</w:t>
      </w:r>
    </w:p>
    <w:p>
      <w:r>
        <w:rPr>
          <w:b/>
        </w:rPr>
        <w:t>E. 2.4</w:t>
      </w:r>
    </w:p>
    <w:p>
      <w:r>
        <w:t>Nach der bundesgerichtlichen Rechtsprechung ist Bandenmässigkeit gege- ben, wenn zwei oder mehrere Täter sich mit dem ausdrücklich oder kon- kludent geäusserten Willen zusammenfinden, inskünftig zur Verübung meh- rerer selbständiger, im Einzelnen möglicherweise noch unbestimmter Straf- taten zusammenzuwirken (vgl. BGE 135 IV 158 E. 2 S. 158). Mit dieser For- mel soll u. a. zum Ausdruck gebracht werden, dass die verschiedenen Ban-</w:t>
      </w:r>
    </w:p>
    <w:p>
      <w:r>
        <w:t>- 11 -</w:t>
      </w:r>
    </w:p>
    <w:p>
      <w:r>
        <w:t>denmitglieder sich darüber einig sein müssen, dass sie in Zukunft gemein- sam weitere Delikte begehen wollen (NIGGLI/RIEDO, Basler Kommentar,</w:t>
      </w:r>
    </w:p>
    <w:p>
      <w:r>
        <w:rPr>
          <w:b/>
        </w:rPr>
        <w:t>E. 2.5</w:t>
      </w:r>
    </w:p>
    <w:p>
      <w:r>
        <w:t>Soweit der Gesuchsgegner 1 vorbringt, die Beschuldigten hätten in zwei ge- trennten Tätergruppen gehandelt, überzeugt seine Argumentation nicht. So räumt er in der Folge selber ein, dass A. und F. ebenfalls gemeinsam tätig geworden sind. Hinzu kommt, dass sich die Argumentation des Gesuchs- gegners 1 nicht als kohärent erweist, selbst wenn man ihr folgen würde. So geht der Gesuchsgegner 1 bei der von ihm selber definierten ersten Gruppe implizit von gewerbs- und bandenmässigen Diebstahls aus. Hingegen soll es nach seiner Darstellung bei der zweiten Gruppe keine Hinweise auf eine bandenmässige Deliktsbegehung geben, obwohl die aktenkundigen Tatum- stände bei beiden angeblichen Gruppen vergleichbar sind. Der Gesuchstel- ler weist daher mit Recht auf die Beurteilung der Strafverfolgungsbehörden des Kantons Bern (Staatsanwaltschaft Berner Jura-Seeland und Zwangs- massnahmengericht Berner Jura-Seeland) im Zusammenhang mit der An- ordnung der Untersuchungshaft gegen H., Mitglied der zweiten Gruppe ge- mäss dem Gesuchsgegners 1, hin. Danach könnte H. an mehreren Dieb- stählen mitgewirkt haben, wobei das Vorliegen des Qualifikationsgrund der Bandenmässigkeit aufgrund des bei den bisher bekannten Vorfällen erkenn- baren arbeitsteiligen Vorgehens derzeit zumindest nicht ausgeschlossen werden könne. Aufgrund der vorliegenden Akten erscheint die gewerbs- und bandenmässige Tatbegehung nicht von vornherein ausgeschlossen. Es ist deshalb in Anwendung des Grundsatzes in dubio pro duriore von einer qua- lifizierten Tatbegehung auszugehen. Die ersten Verfolgungshandlungen er- folgten spätestens am 9. Januar 2017 im Zusammenhang mit dem gleichen- tags verübten gewerbs- und bandemässigen Diebstahl in Z./BE.</w:t>
      </w:r>
    </w:p>
    <w:p>
      <w:r>
        <w:rPr>
          <w:b/>
        </w:rPr>
        <w:t>E. 3</w:t>
      </w:r>
    </w:p>
    <w:p>
      <w:r>
        <w:t>Nach dem Gesagten erweist sich das Gesuch als begründet und es sind die Strafverfolgungsbehörden des Kantons Berns für berechtigt und verpflichtet zu erklären, die A., B., C. und D. zur Last gelegten Delikte zu verfolgen und zu beurteilen.</w:t>
      </w:r>
    </w:p>
    <w:p>
      <w:r>
        <w:rPr>
          <w:b/>
        </w:rPr>
        <w:t>E. 4</w:t>
      </w:r>
    </w:p>
    <w:p>
      <w:r>
        <w:t>Es sind keine Gerichtskosten zu erheben (Art. 423 Abs. 1 StPO).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