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BG.2016.5 vom 4. April 2016</w:t>
      </w:r>
    </w:p>
    <w:p>
      <w:r>
        <w:t>Bundesstrafgericht, 2016-04-04, DE</w:t>
      </w:r>
    </w:p>
    <w:p>
      <w:r>
        <w:rPr>
          <w:b/>
        </w:rPr>
        <w:t xml:space="preserve">Quelle: </w:t>
      </w:r>
      <w:r>
        <w:t>https://mcp.opencaselaw.ch/entscheid/bstger_BG.2016.5</w:t>
      </w:r>
    </w:p>
    <w:p>
      <w:r>
        <w:t>FR: TPF BG.2016.5 du 4 avril 2016</w:t>
      </w:r>
    </w:p>
    <w:p>
      <w:r>
        <w:t>IT: TPF BG.2016.5 del 4 aprile 2016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Diese ersten Ermittlungs- handlungen haben für sich allein keine zuständigkeitsbegründende Wirkung, denn es wäre unbillig, jene Behörden, welche Abklärungen für die Ermittlung des Gerichtsstandes vornehmen, allein deswegen schon zu verpflichten, nachher auch das ganze Verfahren durchzuführen. Der Gerichtsstand hängt indes nicht davon ab, was dem Beschuldigten letztlich nachgewiesen wer- den kann, sondern bestimmt sich danach, was aufgrund der Aktenlage über- haupt in Frage kommt. Hat die Beschwerdekammer des Bundesstrafgerichts</w:t>
      </w:r>
    </w:p>
    <w:p>
      <w:r>
        <w:t>- 6 -</w:t>
      </w:r>
    </w:p>
    <w:p>
      <w:r>
        <w:t>den Gerichtsstand zu bestimmen, beurteilt sie die dem Beschuldigten vorge- worfenen Handlungen frei, unbesehen der rechtlichen Würdigung durch die kantonalen Untersuchungsbehörden. Dabei geht sie von den Vorwürfen aus, die dem Täter im Zeitpunkt des Verfahrens vor der Beschwerdekammer ge- macht werden können (vgl. zuletzt Beschluss des Bundesstrafgerichts BG.2015.15 vom 11. Juni 2015, E. 1.5).</w:t>
      </w:r>
    </w:p>
    <w:p>
      <w:r>
        <w:rPr>
          <w:b/>
        </w:rPr>
        <w:t>E. 1.3</w:t>
      </w:r>
    </w:p>
    <w:p>
      <w:r>
        <w:t>Gemäss Art. 102 Abs. 1 StGB wird das Verbrechen oder Vergehen dem Un- ternehmen zugerechnet, wenn in einem Unternehmen in Ausübung ge- schäftlicher Verrichtung im Rahmen des Unternehmenszwecks ein Verbre- chen oder Vergehen begangen wird und diese Tat wegen mangelhafter Or- ganisation des Unternehmens keiner bestimmten natürlichen Person zuge- rechnet werden kann. Um die Strafbarkeit des Unternehmens für seine Or- ganisationsdefizite auszulösen, muss das Delikt aus dem Unternehmen be- gangen werden. Der Anlasstäter muss entsprechend organisatorisch in das Unternehmen eingebunden sein (vertraglich, gesellschaftsrechtlich oder je- denfalls faktisch). Anlasstäter der Unternehmensstrafbarkeit können Or- gane, Gesellschafter oder Mitarbeiter eines Unternehmens sein. Bei Beauf- tragten ist zu differenzieren. Ist etwa die Organisation eines Subunterneh- mens alleine dessen Angelegenheit und liegt nicht im Einfluss- oder Macht- bereich des Primärunternehmens, kann diesem Unternehmen diesbezüglich nicht der Vorwurf mangelhafter Organisation gemacht werden. Von einer an- deren Situation ist auszugehen, wenn der Auftragnehmer einzig für das Un- ternehmen arbeitet und organisatorisch stark in das Unternehmen eingebun- den ist (s. zum Ganzen MARCEL ALEXANDER NIGGLI/DIEGO R. GFELLER, in Basler Kommentar StGB I, 3. Aufl. 2013, Art. 102 N. 64 f. mit weiteren Hin- weisen; s. insbesondere auch MATTHIAS FORSTER, Die strafrechtliche Ver- antwortlichkeit des Unternehmens nach Art. 102 StGB, Bern 2006, S. 156 ff.). Werden ganze Unternehmensfunktionen und Geschäftsbereiche ausgelagert, kommt es auf den Einzelfall darauf an. So kann das outsour- cende Unternehmen unter Umständen durchaus für den ausgelagerten Be- reich verantwortlich bleiben, weshalb das Fehlverhalten des Outsourcing- nehmers dem Outsourcinggeber zugerechnet werden kann (NIGGLI/GFEL- LER, a.a.O., Art. 102 N. 73 ff. mit weiteren Hinweisen; FORSTER, a.a.O., S. 158 ff.). Für das Strafverfahren gegen das Unternehmen nach Artikel 102 StGB sind die Behörden am Sitz des Unternehmens zuständig. Nach der Rechtsprechung hat mit Bezug auf Art. 102 StGB die Strafverfol- gungsbehörde, bei welcher eine Strafanzeige bzw. ein Strafantrag eingegan- gen ist, in einem ersten Schritt festzustellen, ob innerhalb des Unternehmens ein Verbrechen oder Vergehen begangen wurde. So kann der Gerichtsstand gemäss Art. 36 Abs. 2 StPO nur dann in Betracht gezogen werden, wenn ein</w:t>
      </w:r>
    </w:p>
    <w:p>
      <w:r>
        <w:t>- 7 -</w:t>
      </w:r>
    </w:p>
    <w:p>
      <w:r>
        <w:t>Anwendungsfall von Art. 102 StGB angenommen werden kann. Die Straf- verfolgungsbehörde muss untersuchen, ob gegebenenfalls natürliche Per- sonen hiefür verantwortlich gemacht werden können oder nicht. Sobald die Strafverfolgungsbehörde über ausreichende Elemente verfügt, welche den Rückschluss erlauben, dass Art. 102 Abs. 1 StGB anwendbar ist, d.h. sobald keine physische Person identifiziert und die strafrechtliche Verantwortlichkeit des Unternehmens nicht ausgeschlossen werden kann, überweist sie die Sache den Strafverfolgungsbehörden am Sitz des betroffenen Unterneh- mens (TPF 2012 62 E. 2.1). Dieses Vorgehen gilt entgegen der Auffassung des Gesuchstellers auch dann, wenn es sich bei der Strafverfolgungsbe- hörde, bei welcher eine Strafanzeige bzw. ein Strafantrag eingegangen ist, um die Behörde am Sitz des fraglichen Unternehmens selber handelt. Der Unterschied besteht lediglich darin, dass sie in der Folge das Strafverfahren zuständigkeitshalber weiterführt, wenn keine physische Person identifiziert und die strafrechtliche Verantwortlichkeit des Unternehmens nicht ausge- schlossen werden kann. Mit anderen Worten ist somit auch die durch Straf- anzeige bzw. Strafantrag angerufene Behörde am Sitz des Unternehmens verpflichtet, alle für die Festlegung des Gerichtsstandes wesentlichen Tatsa- chen zu erforschen und alle dazu notwendigen Erhebungen durchzuführen.</w:t>
      </w:r>
    </w:p>
    <w:p>
      <w:r>
        <w:rPr>
          <w:b/>
        </w:rPr>
        <w:t>E. 1.4</w:t>
      </w:r>
    </w:p>
    <w:p>
      <w:r>
        <w:t>Gemäss dem angezeigten Sachverhalt wurde der inkriminierte Werbeanruf an A. im Namen der B. AG getätigt (s. supra lit. A). Gemäss den im Auftrag der Staatsanwaltschaft Zürich-Limmat getätigten Abklärungen der Stadtpoli- zei Zürich verfüge die B. AG an ihrem Sitz in Zürich lediglich über eine reine Postfachadresse. Auf Aufforderung der Staatsanwaltschaft Zürich-Limmat hin erklärte der Rechtsvertreter der B. AG, dass die Anrufe über ein beauf- tragtes und zertifiziertes Servicecenter (D. GmbH in Berlin) erfolge. Zur Frage, wie die B. AG sicherstelle, dass die Telefonoperateure keine Anrufe auf Nummern mit Sterneintrag tätigen würden, nahm der Rechtsvertreter wie folgt Stellung: Vor der telefonischen Kontaktaufnahme werde von der B. AG geprüft, ob für die ihr zu dem jeweiligen Konsumenten bekannte Telefon- nummer ein Sterneintrag hinterlegt sei. Dies erfolge durch ein Abgleich mit der jeweils aktuellsten Fassung der von CallNet.ch in Wetzikon veröffentlich- ten Sperrliste. CallNet.ch, der Schweizer Branchenverband für Call Center- und Kundenkontakt-Management, führe eine Sperrliste für das Telefonmar- keting und dafür würden die Sterneinträge des Telefonbuchs von local.ch als Grundlage verwendet. Seit dem Vergleich der B. AG mit dem SECO 2014 sei durch das SECO keine einzige diesbezüglich Beanstandung erfolgt. Dies sei ein sicheres Zeichen dafür, dass die geschilderten Vorkehrungen zur Ver- meidung von Kontaktaufnahmen mit Neukunden, für die ein Sterneintrag existiere, effektiv seien. Der zu untersuchende Sachverhalt müsse daher auf einem Missverständnis beruhen.</w:t>
      </w:r>
    </w:p>
    <w:p>
      <w:r>
        <w:t>- 8 -</w:t>
      </w:r>
    </w:p>
    <w:p>
      <w:r>
        <w:rPr>
          <w:b/>
        </w:rPr>
        <w:t>E. 1.5</w:t>
      </w:r>
    </w:p>
    <w:p>
      <w:r>
        <w:t>Den bisherigen Ermittlungen der Staatsanwaltschaft Zürich-Limmat ist nicht zu entnehmen, ob bestimmte natürliche Personen für das angezeigte Fehl- verhalten verantwortlich gemacht werden können oder nicht. Es wurde nicht abgeklärt, ob sich der fragliche Telefonoperateur des von der B. AG beauf- tragten Call-Centers identifizieren lässt. Es wurde sodann nicht untersucht, ob und inwiefern die B. AG die Verantwortung für das von ihr beauftragte Call-Center trägt. Es wurde auch nicht geprüft, wer innerhalb der B. AG ge- gebenenfalls sicherstellt, dass das von dieser beauftragte Call-Center in Ber- lin keine Anrufe auf Nummern mit Sterneintrag tätigt, und ob diese Person im vorliegenden Zusammenhang ein Vorwurf trifft. Die Stellungnahme des Rechtsvertreters der B. AG gibt diesbezüglich keine Auskunft. Zu bemerken ist sodann, dass Mitglied des Verwaltungsrats nicht nur der in Berlin wohn- hafte Präsident E. sondern auch F. in Z. (Schweiz) ist. Als Mitglied des Ver- waltungsrats steht gemäss Art. 716a Abs. 1 Ziff. 5 OR auch Letzterem grund- sätzlich die Oberaufsicht über die mit der Geschäftsführung betrauten Per- sonen, namentlich im Hinblick auf die Befolgung der Gesetze, Statuten, Reg- lemente und Weisungen, zu. Ob namentlich die Mitglieder des Verwaltungs- rats der B. AG in Anwendung von Art. 23 UWG i.V.m. Art. 6 Abs. 2 VStrR wegen Unterlassung verantwortlich gemacht werden können oder nicht, wurde nicht ermittelt.</w:t>
      </w:r>
    </w:p>
    <w:p>
      <w:r>
        <w:t>Ist noch unklar, ob die verantwortlichen natürlichen Personen ermittelt wer- den können oder nicht, kann sich das Strafverfahren gleichzeitig sowohl ge- gen das Unternehmen als auch gegen die verdächtigen Personen richten (NIKLAUS SCHMId, Handbuch des schweizerischen Strafprozessrechts,</w:t>
      </w:r>
    </w:p>
    <w:p>
      <w:r>
        <w:rPr>
          <w:b/>
        </w:rPr>
        <w:t>E. 1.6</w:t>
      </w:r>
    </w:p>
    <w:p>
      <w:r>
        <w:t>Auf sein Gesuch ist nach dem Gesagten nicht einzutreten.</w:t>
      </w:r>
    </w:p>
    <w:p>
      <w:r>
        <w:rPr>
          <w:b/>
        </w:rPr>
        <w:t>E. 2</w:t>
      </w:r>
    </w:p>
    <w:p>
      <w:r>
        <w:t>Es ist keine Gerichtsgebühr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