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BG.2016.38 vom 3. Januar 2017</w:t>
      </w:r>
    </w:p>
    <w:p>
      <w:r>
        <w:t>Bundesstrafgericht, 2017-01-03, DE</w:t>
      </w:r>
    </w:p>
    <w:p>
      <w:r>
        <w:rPr>
          <w:b/>
        </w:rPr>
        <w:t xml:space="preserve">Quelle: </w:t>
      </w:r>
      <w:r>
        <w:t>https://mcp.opencaselaw.ch/entscheid/bstger_BG.2016.38</w:t>
      </w:r>
    </w:p>
    <w:p>
      <w:r>
        <w:t>FR: TPF BG.2016.38 du 3 janvier 2017</w:t>
      </w:r>
    </w:p>
    <w:p>
      <w:r>
        <w:t>IT: TPF BG.2016.38 del 3 gennaio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Oberstaatsanwaltschaft des Kantons Schwyz ist berechtigt, den Gesuch- steller bei interkantonalen Gerichtsstandskonflikten vor der Beschwerde- kammer zu vertreten (§ 48 lit. e und f des Justizgesetzes des Kantons Schwyz vom 18. November 2009 [JG/SZ; SRSZ 231.110]). Auf Seiten der Gesuchsgegner steht diese Befugnis der Generalstaatsanwaltschaft des Kantons Bern (Art. 24 lit. b des Einführungsgesetzes zur Zivilprozessord- nung, zur Strafprozessordnung und zur Jugendstrafprozessordnung des Kantons Bern vom 11. Juni 2009 [EG ZSJ/BE; BSG 271.1]), der Oberstaats- anwaltschaft des Kantons Luzern (§ 4 Abs. 1 der Verordnung über die Staatsanwaltschaft des Kantons Luzern vom 14. Dezember 2010 [SRL Nr. 275]) und der Oberstaatsanwaltschaft des Kantons Zürich zu (§ 107 Abs. 1</w:t>
      </w:r>
    </w:p>
    <w:p>
      <w:r>
        <w:t>- 4 -</w:t>
      </w:r>
    </w:p>
    <w:p>
      <w:r>
        <w:t>lit. b des Gesetzes über die Gerichts- und Behördenorganisation im Zivil- und Strafprozess des Kantons Zürich vom 10. Mai 2010 [GOG/ZH; LS 211.1]). Die übrigen Eintretensvoraussetzungen geben zu keinen weiteren Bemer- kungen Anlass, weshalb auf das Gesuch einzutreten ist.</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u. a. die Beschlüsse des Bundesstrafgerichts BG.2016.28 vom 25. Oktober 2016, E. 2.1; BG.2016.19 vom 20. Juli 2016, E. 2.2; BG.2016.13 vom 20. Juli 2016, E. 2.1; jeweils m.w.H.).</w:t>
      </w:r>
    </w:p>
    <w:p>
      <w:r>
        <w:rPr>
          <w:b/>
        </w:rPr>
        <w:t>E. 2.2</w:t>
      </w:r>
    </w:p>
    <w:p>
      <w:r>
        <w:t>Bei der Beurteilung der Gerichtsstandsfrage muss von der aktuellen Ver- dachtslage ausgegangen werden. Massgeblich ist nicht, was dem Beschul- digten schlussendlich nachgewiesen werden kann, sondern der Tatbestand,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überhaupt in Frage kommt (Beschlüsse des Bundesstrafgerichts BG.2016.28 vom 25. Oktober 2016, E. 2.2; BG.2016.6 vom 17. Mai 2016, E. 2.2). Dabei stützt sich die Beschwerdekammer auf Fakten, nicht auf Hy- pothesen (Beschlüsse des Bundesstrafgerichts BG.2015.47 vom 1. März 2016, E. 2.3; BG.2015.38 vom 22. Oktober 2015, E. 2). Es gilt der Grundsatz «in dubio pro duriore», wonach im Zweifelsfall auf den für den Beschuldigten ungünstigeren Sachverhalt abzustellen bzw. das schwerere Delikt anzuneh- men ist (Beschlüsse des Bundesstrafgerichts BG.2016.28 vom 25. Oktober</w:t>
      </w:r>
    </w:p>
    <w:p>
      <w:r>
        <w:t>- 5 -</w:t>
      </w:r>
    </w:p>
    <w:p>
      <w:r>
        <w:t>2016, E. 2.2; BG.2016.6 vom 17. Mai 2016, E. 2.2; BG.2016.10 vom 10. Mai 2016, E. 2.3).</w:t>
      </w:r>
    </w:p>
    <w:p>
      <w:r>
        <w:rPr>
          <w:b/>
        </w:rPr>
        <w:t>E. 2.3</w:t>
      </w:r>
    </w:p>
    <w:p>
      <w:r>
        <w:t>Vorliegend entscheidend ist die Frage, ob den Akten genügend Hinweise entnommen werden können, welche auf eine Tatbeteiligung von B. am Ein- bruchdiebstahl in Z. (Kanton Bern) vom 5. Juli 2016 hindeuten. B. hat seine Beteiligung an dieser Straftat anlässlich seiner Einvernahme vom 15. No- vember 2016 und auf entsprechenden Vorhalt hin bestritten (SUH 2016 1605, act. 10.1.03). Die Einvernahme von B. zu dieser Straftat erfolgte auf Wunsch der Kantonspolizei Bern, nachdem deren Vertreter zwischen dem Täter, welcher in Z. auf Videokamera aufgezeichnet worden ist, und B. eine «grosse Ähnlichkeit» erkannte (SUH 2016 1605, act. 8.5.04). Ein Vergleich der entsprechenden Bilder zeigt, dass diese Auffassung zumindest nicht von vornherein von der Hand zu weisen ist (SUH 2016 1605, act. 8.5.02 und 8.5.05). Schliesslich hielt diesbezüglich auch die Generalstaatsanwaltschaft des Kantons Bern im Rahmen des Meinungsaustauschs fest, dass eine ge- naue Überprüfung der Videobilder vom Einbruchdiebstahl in Z. und der ak- tuellen Bilder von B. durch einen Sachverständigen sinnvoll sei (SUH 2016 1605, act. 13.0.09). Sie bringt damit gleich selber zum Ausdruck, dass die Annahme einer Mittäterschaft von B. am Einbruchdiebstahl in Z. weder von vornherein haltlos noch sicher ausgeschlossen ist. Der Einbruchdiebstahl in Z. bildet demnach offensichtlich Teil des gegen B. geführten Strafverfahrens. Ob die entsprechende Tat B. am Ende des Verfahrens nachgewiesen wer- den kann, ist für die Festlegung der örtlichen Zuständigkeit zum jetzigen Zeit- punkt nicht von Belang.</w:t>
      </w:r>
    </w:p>
    <w:p>
      <w:r>
        <w:rPr>
          <w:b/>
        </w:rPr>
        <w:t>E. 3</w:t>
      </w:r>
    </w:p>
    <w:p>
      <w:r>
        <w:t>Nach dem Gesagten ist das Gesuch gutzuheissen und es sind die Strafbe- hörden des Kantons Bern gestützt auf Art. 33 Abs. 2 und Art. 34 Abs. 1 StPO für berechtigt und verpflichtet zu erklären, die A. und B. zur Last gelegten Straftaten zu verfolgen und zu beurteilen. Gründe für ein Abweichen vom gesetzlichen Gerichtsstand sind den Akten keine zu entnehmen.</w:t>
      </w:r>
    </w:p>
    <w:p>
      <w:r>
        <w:rPr>
          <w:b/>
        </w:rPr>
        <w:t>E. 4</w:t>
      </w:r>
    </w:p>
    <w:p>
      <w:r>
        <w:t>Es ist keine Gerichtsgebühr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