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BG.2016.33 vom 13. Januar 2017</w:t>
      </w:r>
    </w:p>
    <w:p>
      <w:r>
        <w:t>Bundesstrafgericht, 2017-01-13, DE</w:t>
      </w:r>
    </w:p>
    <w:p>
      <w:r>
        <w:rPr>
          <w:b/>
        </w:rPr>
        <w:t xml:space="preserve">Quelle: </w:t>
      </w:r>
      <w:r>
        <w:t>https://mcp.opencaselaw.ch/entscheid/bstger_BG.2016.33</w:t>
      </w:r>
    </w:p>
    <w:p>
      <w:r>
        <w:t>FR: TPF BG.2016.33 du 13 janvier 2017</w:t>
      </w:r>
    </w:p>
    <w:p>
      <w:r>
        <w:t>IT: TPF BG.2016.33 del 13 gennaio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u. a. TPF 2011 94 E. 2.2). Die Behörden, welche berechtigt sind, ihren Kanton im Meinungsaustausch und im Verfahren vor der Beschwerde- kammer zu vertreten, bestimmen sich nach dem jeweiligen kantonalen Recht (Art. 14 Abs. 4 StPO; vgl. hierzu KUHN, in Niggli/Heer/Wiprächtiger [Hrsg.], Basler Kommentar, Basel 2014, 2. Aufl., Art. 39 StPO N. 9 sowie Art. 40 StPO N. 10; SCHMID, Handbuch des schweizerischen Strafprozessrechts,</w:t>
      </w:r>
    </w:p>
    <w:p>
      <w:r>
        <w:rPr>
          <w:b/>
        </w:rPr>
        <w:t>E. 1.2</w:t>
      </w:r>
    </w:p>
    <w:p>
      <w:r>
        <w:t>Die Erste Staatsanwältin oder der Erste Staatsanwalt des Kantons Schaff- hausen ist berechtigt (Art. 21 Abs. 1 lit. f des Justizgesetzes vom 9. Novem- ber 2009 [Schaffhauser Rechtsbuch SHR 173.200]), den Gesuchsteller bei interkantonalen Gerichtsstandskonflikten vor der Beschwerdekammer zu vertreten. Bezüglich des Gesuchsgegners steht diese Befugnis der Ober- staatsanwaltschaft des Kantons Aargau zu (Art. 40 Abs. 2 StPO i.V.m. § 20 des Einführungsgesetzes zur Schweizerischen Strafprozessordnung des Kantons Aargau vom 16. März 2010 [EG StPO/AG; SAR 251.200]). Bezüg- lich des insbesondere auch im Meinungsaustauschprozedere zu beachten-</w:t>
      </w:r>
    </w:p>
    <w:p>
      <w:r>
        <w:t>- 4 -</w:t>
      </w:r>
    </w:p>
    <w:p>
      <w:r>
        <w:t>den Beschleunigungsgebotes ist vorliegend festzustellen, dass der Gesuch- steller seit dem erfolglosen Abschluss eines ersten Meinungsaustausches fast zwei Monate hat verstreichen lassen bis der Meinungsaustausch über die formell zuständigen Behörden in Angriff genommen wurde, was sich mit dem Beschleunigungsgebot wohl kaum vereinbaren lässt. Angesichts des Ausgangs des vorliegenden Verfahrens wird die Frage an dieser Stelle je- doch nicht weiter vertieft. Auf das Gesuch ist einzutreten.</w:t>
      </w:r>
    </w:p>
    <w:p>
      <w:r>
        <w:rPr>
          <w:b/>
        </w:rPr>
        <w:t>E. 2</w:t>
      </w:r>
    </w:p>
    <w:p>
      <w:r>
        <w:t>Aufl., Zürich/St. Gallen 2013, N. 488; GALLIANI/MARCELLINI, Codice sviz- zero di procedura penale [CPP] – Commentario, Zurigo/San Gallo 2010, n. 5 ad art. 40 CPP).</w:t>
      </w:r>
    </w:p>
    <w:p>
      <w:r>
        <w:rPr>
          <w:b/>
        </w:rPr>
        <w:t>E. 2.1</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(vgl. MO- SER, in: Niggli/Heer/Wiprächtiger [Hrsg.], Basler Kommentar, Basel 2014, Art. 38 StPO N. 2 m.w.H.; siehe auch BERTOSSA, Commentaire romand, Bâle 2011, n° 2 ad art. 38 CPP; GOLDSCHMID/MAURER/SOLLBERGER, Kom- mentierte Textausgabe zur Schweizerischen Strafprozessordnung [StPO], Bern 2008, S. 32 f.; GALLIANI/MARCELLINI, op. cit., n. 1 e 2 ad art. 38 CPP). 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entfallen (BGE 129 IV 202 E. 2 S. 203; siehe auch den Beschluss des Bun- desstrafgerichts BG.2011.25 vom 28. September 2011, E. 3.2 sowie BG.2014.18 vom 21. August 2014). Das Übergewicht muss dabei so offen- sichtlich und bedeutsam sein, dass sich das Abweichen vom gesetzlichen Gerichtsstand geradezu aufdrängt (MOSER, a.a.O., Art. 38 StPO N. 7 f.; GUIDON/BÄNZIGER, Die aktuelle Rechtsprechung des Bundesstrafgerichts zum interkantonalen Gerichtsstand in Strafsachen, Jusletter 21. Mai 2007, [Rz 46] m.w.H.). Fehlt es bereits an einer grösseren Zahl der in Frage ste- henden Fälle, so drängt sich ein Abweichen vom gesetzlichen Gerichtsstand</w:t>
      </w:r>
    </w:p>
    <w:p>
      <w:r>
        <w:t>- 5 -</w:t>
      </w:r>
    </w:p>
    <w:p>
      <w:r>
        <w:t>– sofern nicht weitere triftige prozessökonomische Gesichtspunkte ernsthaft in Betracht gezogen werden müssen – nicht auf (siehe hierzu den Beschluss des Bundesstrafgerichts BG.2011.25 vom 28. September 2011 sowie BG.2014.18 vom 21. August 2014, E. 3.2; vgl. auch die Entscheide des Bun- desstrafgerichts BG.2009.30 vom 26. Oktober 2009, E. 2.3; BG.2009.23 vom 13. Oktober 2009, E. 2.4; BK_G 038/04 vom 13. Juli 2004, E. 5). Das Bundesgericht bezeichnete rund 30 Straftaten als „mittlere Anzahl von Straf- taten“ (BGE 129 IV 202 E. 3).</w:t>
      </w:r>
    </w:p>
    <w:p>
      <w:r>
        <w:rPr>
          <w:b/>
        </w:rPr>
        <w:t>E. 2.2</w:t>
      </w:r>
    </w:p>
    <w:p>
      <w:r>
        <w:t>Im Lichte der vorstehend erläuterten Schwerpunktpraxis ist bei 37 bzw. 34 zur Frage stehenden Straftaten von einer mittleren Anzahl Delikte auszuge- hen. Bei dieser Situation lässt sich ein Entscheid nicht allein auf die 2/3 – Regel abstützen, sondern es muss zusätzlich zumindest ein weiterer triftiger Grund für ein Abweichen vom gesetzlichen Gerichtsstand sprechen. Ein sol- cher Grund kann darin liegen, dass der Bezug der Delikte zum Begehungsort besonders eng ist und sich deshalb insbesondere im Verkehr mit den Ge- schädigten der prozessuale Aufwand minimieren lässt, wenn das Verfahren dort geführt wird, wo der überwiegende Teil der Straftaten begangen wurde.</w:t>
      </w:r>
    </w:p>
    <w:p>
      <w:r>
        <w:rPr>
          <w:b/>
        </w:rPr>
        <w:t>E. 2.3</w:t>
      </w:r>
    </w:p>
    <w:p>
      <w:r>
        <w:t>Vorliegend argumentiert der Gesuchsgegner einerseits, bei den von ihm ge- führten Verfahren handle es sich lediglich um einfache Diebstähle, eine Ar- gumentation, die angesichts der zahlreichen Einbruchdiebstähle welche dem Beschuldigten innert kurzer Zeit vorgeworfen werden, zumindest be- züglich der Gewerbsmässigkeit als problematisch anzusehen ist. Angesichts des Verfahrensausganges kann aber auch diese Frage offen bleiben. Unstrittig ist, dass von der Gesamtzahl von 37 bzw. 34 Delikten, allesamt Einbruchdiebstähle, deren 29 im Kanton Schaffhausen begangen wurden, was einem Anteil von erheblich mehr als 2/3 entspricht. Einbruchdiebstahl hat typischerweise einen hohen lokalen Bezug, insbeson- dere wenn er mit Hausfriedensbruch in Verbindung steht, was vorliegend bei allen Delikten der Fall ist. Der prozessuale Aufwand verringert sich selbstre- dend, wenn das Verfahren am Tatort geführt wird. Aus prozessökonomi- schen Gründen drängt sich folglich ein Abweichen vom gesetzlichen Ge- richtsstand auf.</w:t>
      </w:r>
    </w:p>
    <w:p>
      <w:r>
        <w:rPr>
          <w:b/>
        </w:rPr>
        <w:t>E. 3</w:t>
      </w:r>
    </w:p>
    <w:p>
      <w:r>
        <w:t>Nach dem Gesagten sind die Strafverfolgungsbehörden des Kantons Schaff- hausen für berechtigt und verpflichtet zu erklären, die A. zur Last gelegten Delikte zu verfolgen und zu beurteilen.</w:t>
      </w:r>
    </w:p>
    <w:p>
      <w:r>
        <w:rPr>
          <w:b/>
        </w:rPr>
        <w:t>E. 4</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