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BG.2016.29 vom 5. Dezember 2016</w:t>
      </w:r>
    </w:p>
    <w:p>
      <w:r>
        <w:t>Bundesstrafgericht, 2016-12-05, DE</w:t>
      </w:r>
    </w:p>
    <w:p>
      <w:r>
        <w:rPr>
          <w:b/>
        </w:rPr>
        <w:t xml:space="preserve">Quelle: </w:t>
      </w:r>
      <w:r>
        <w:t>https://mcp.opencaselaw.ch/entscheid/bstger_BG.2016.29</w:t>
      </w:r>
    </w:p>
    <w:p>
      <w:r>
        <w:t>FR: TPF BG.2016.29 du 5 décembre 2016</w:t>
      </w:r>
    </w:p>
    <w:p>
      <w:r>
        <w:t>IT: TPF BG.2016.29 del 5 dicembre 2016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zuletzt u. a. die Beschlüsse des Bundesstrafgerichts BG.2016.28 vom 25. Oktober 2016, E. 2.1; BG.2016.19 vom 20. Juli 2016, E. 2.2; BG.2016.14 vom 14. Juni 2016, E. 2.2; jeweils m.w.H.).</w:t>
      </w:r>
    </w:p>
    <w:p>
      <w:r>
        <w:t>- 4 -</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(vgl. hierzu den Beschluss des Bundesstrafgerichts BG.2015.47 vom 1. März 2016, E. 2.3 m.w.H.). Es gilt der Grundsatz in dubio pro duriore, wonach im Zweifelsfall auf den für den Beschuldigten ungünstigeren Sach- verhalt abzustellen bzw. das schwerere Delikt anzunehmen ist (vgl. zum Ganzen zuletzt auch den Beschluss des Bundesstrafgerichts BG.2016.28 vom 25. Oktober 2016, E. 2.2 m.w.H.).</w:t>
      </w:r>
    </w:p>
    <w:p>
      <w:r>
        <w:rPr>
          <w:b/>
        </w:rPr>
        <w:t>E. 2.3</w:t>
      </w:r>
    </w:p>
    <w:p>
      <w:r>
        <w:t>Wer jemandem eine fremde bewegliche Sache zur Aneignung wegnimmt, um sich oder einen andern damit unrechtmässig zu bereichern, wird mit Frei- heitsstrafe bis zu fünf Jahren oder Geldstrafe bestraft. Der Dieb wird mit Frei- heitsstrafe bis zu zehn Jahren oder Geldstrafe nicht unter 180 Tagessätzen bestraft, wenn er den Diebstahl als Mitglied einer Bande ausführt, die sich zur fortgesetzten Verübung von Raub oder Diebstahl zusammengefunden hat (Art. 139 Ziff. 1 und 3 StGB). Nach der bundesgerichtlichen Rechtspre- chung ist Bandenmässigkeit gegeben, wenn zwei oder mehrere Täter sich mit dem ausdrücklich oder konkludent geäusserten Willen zusammenfinden, inskünftig zur Verübung mehrerer selbständiger, im Einzelnen möglicher- weise noch unbestimmter Straftaten zusammenzuwirken (BGE 135 IV 158 E. 2 S. 158 m.w.H.).</w:t>
      </w:r>
    </w:p>
    <w:p>
      <w:r>
        <w:rPr>
          <w:b/>
        </w:rPr>
        <w:t>E. 2.4</w:t>
      </w:r>
    </w:p>
    <w:p>
      <w:r>
        <w:t>Unter den Parteien ist – mit Ausnahme des Kantons Luzern – die Qualifika- tion der in der Zeitspanne vom 16./17. November bis 8. Dezember 2015 ver- übten Einbruchsdiebstähle als bandenmässige Diebstähle nicht bestritten. Umstritten ist, ob der Einbruchsdiebstahl vom 7. November 2015 in Bern oder jener vom 16./17. November 2015 in Luzern (auch) gerichtsstandsrele- vant ist und damit als erster bandenmässiger Diebstahl zu gelten hat.</w:t>
      </w:r>
    </w:p>
    <w:p>
      <w:r>
        <w:rPr>
          <w:b/>
        </w:rPr>
        <w:t>E. 2.4.1</w:t>
      </w:r>
    </w:p>
    <w:p>
      <w:r>
        <w:t>Den Akten kann hinsichtlich des Einbruchdiebstahls vom Samstag, 7. No- vember 2015, an der Z.-strasse in Bern Folgendes entnommen werden: Die Beschuldigten C. und A. bestritten eine mögliche Täterschaft und erklärten bei ihren polizeilichen Befragungen unabhängig voneinander, dass sie an Wochenenden bzw. samstags nie eingebrochen hätten. B. konnte sich zwar ebenfalls nicht mehr an das fragliche Objekt erinnern, bestätigte jedoch die Aussagen seiner Mitbeschuldigten, dass sie die Wochenenden für Sight-</w:t>
      </w:r>
    </w:p>
    <w:p>
      <w:r>
        <w:t>- 5 -</w:t>
      </w:r>
    </w:p>
    <w:p>
      <w:r>
        <w:t>seeing genutzt hätten. Anlässlich der Konfrontationseinvernahme vom 29. Juni 2016 bei der Staatsanwaltschaft Zürich-Sihl hielten die Beschuldig- ten an ihren Aussagen fest. Zudem konnte vom Einbruch in Bern kein De- liktsgut im Lagerraum an der Y.-strasse in Zürich sichergestellt werden: Die Geschädigte D. erkannte zudem auf den ihr zugestellten Fotos der Sicher- stellungen keine ihr abhanden gekommene Schmuckstücke. Weitere aus- wertbare Spuren oder Beweismittel, die konkret auf eine Täterschaft der Be- schuldigten hinweisen, bestehen keine. Sodann reisten alle drei Beschuldig- ten am 8. November 2015 von Zürich nach Barcelona, wo sie bis am 15. No- vember 2015 verweilten. Erst ab letzterem Datum sind wieder Fotos aus der Schweiz vorhanden. Der Beschuldigte B. erklärte bei der Kantonspolizei Zü- rich, an Tagen bevor er nach Barcelona gereist sei, habe er kein Delikt be- gangen. Insgesamt ist der Auffassung des Gesuchstellers zuzustimmen, dass dieser Einbruchsdiebstahl zur Bestimmung des Gerichtsstandes vorlie- gend nicht berücksichtigt werden kann. Im Laufe der bisherigen Ermittlungen haben sich keine rechtsgenüglichen, konkreten Anhaltspunkte für eine mög- liche (bandenmässige) Täterschaft der drei Beschuldigten ergeben, auch wenn in Bezug auf das Tatvorgehen, dem ausgewählten Opfer (eine aus Sri Lanka stammende Familie) und der Deliktsbeute (Schmuck) gewisse – wenn auch letztlich nur sehr vage – Gemeinsamkeiten zur hier interessierenden Deliktserie bestehen mögen.</w:t>
      </w:r>
    </w:p>
    <w:p>
      <w:r>
        <w:rPr>
          <w:b/>
        </w:rPr>
        <w:t>E. 2.4.2</w:t>
      </w:r>
    </w:p>
    <w:p>
      <w:r>
        <w:t>Beim zeitlich nächsten Delikt, das den Beschuldigten vorgeworfen wird, han- delt es sich um den Einbruchdiebstahl vom 16./17. November 2015 an der X.-strasse in Luzern, begangen zum Nachteil des Geschädigten E. Die Aus- gangslage gestaltet sich grundsätzlich identisch wie beim vorerwähnten Ein- bruchsdiebstahl in Bern: Das Tatvorgehen (Schliesszylinder abbrechen), das ausgewählte Opfer (sri-lankischer Herkunft) und die erbeuteten Güter (Schmuck) weisen auf die Tätergruppe der Beschuldigten hin. Der Geschä- digte erkannte auf Zusendung von Fotos keine ihm fehlende Schmuckstücke und im Lagerraum in Zürich konnte kein Deliktsgut aus diesem Einbruch si- chergestellt werden. Bei ihren polizeilichen Befragungen und anlässlich der Konfrontationseinvernahme erklärten die Beschuldigten mehrheitlich, sich nicht mehr an diesen Einbruch erinnern zu können. Im Unterschied zum De- likt in Bern gibt es jedoch zusätzliche Hinweise und Indizien: Der Beschul- digte A. gab bei seiner Befragung bei der Kantonspolizei Zürich am 11. Feb- ruar 2016 zu Protokoll, er sei seit seiner Einreise am 28. Oktober 2015 auch in Luzern gewesen, wo er auch ein Delikt begangen habe. Er sei in ein Wohngebäude eingebrochen. Nachdem ihm ein Situationsplan der Stadt Lu- zern mit der X.-strasse vorgelegt wurde, erklärte er (act. 5.10, S. 2): «Es kann sein, dass wir dort gewesen sind, dass ich dort gewesen bin.» Auf Nach- frage, ob er oft in Luzern gewesen sei, bestätigte er, dass er und die Mitbe-</w:t>
      </w:r>
    </w:p>
    <w:p>
      <w:r>
        <w:t>- 6 -</w:t>
      </w:r>
    </w:p>
    <w:p>
      <w:r>
        <w:t>schuldigten in Luzern, Zürich und Basel waren. Im Übrigen vermochte er sich, wie auch der Beschuldigte B. (vgl. Einvernahme vom 24. Februar 2016 bei der Kantonspolizei Zürich, act. 5.11), nicht zu erinnern, ob er beim fragli- chen Objekt tatsächlich eingebrochen habe. Auch konnte die Polizei bei den Beschuldigten diverse Zettel mit handgeschriebenen Adressen sicherstellen. Darunter befand sich auch die genaue Adresse des Zielobjekts in Luzern und die Telefonnummer der (ebenfalls aus Sri Lanka stammenden) Nachba- rin des Geschädigten. Der Beschuldigte C. bestätigte anlässlich der Einver- nahme bei der Kantonspolizei vom 19. Februar 2016, es handle sich dabei um die Adressen potenzieller Einbruchsobjekte und wenn das Objekt auf diesem Zettel stehe, dann seien sie wahrscheinlich auch dort gewesen (act. 5.12, S. 2). Vom Mobiltelefon des Beschuldigten B. konnten sodann mehrere Fotos der Stadt Luzern ausgelesen werden, die nachweislich am 17. Novem- ber 2015 erstellt worden waren. Bei diesem Datum handelt sich um einen Dienstag – aus Sicht der Beschuldigten um einen «Arbeitstag», an dem sie Einbrüche begingen – und damit (höchstwahrscheinlich) um den Deliktstag in Luzern (vgl. Nachtragsrapport und Schlussbericht der Kantonspolizei Zü- rich vom 16. März 2016 bzw. 18. April 2016; act. 1.21 bzw. 1.26).</w:t>
      </w:r>
    </w:p>
    <w:p>
      <w:r>
        <w:rPr>
          <w:b/>
        </w:rPr>
        <w:t>E. 3</w:t>
      </w:r>
    </w:p>
    <w:p>
      <w:r>
        <w:t>Nach dem Gesagten liegt der gesetzliche Gerichtsstand in Anwendung von Art. 33 Abs. 2 und Art. 34 Abs. 1 StPO im Kanton Luzern («forum praeventi- onis»). Im Unterschied zum angezeigten Delikt im Kanton Bern bestehen aufgrund der aktuellen Aktenlage konkrete Hinweise, dass die Beschuldigten A., B. und C. eine gemeinsame, bandenmässige und damit gerichtsstandre- levante Tatbegehung erstmals mit dem angezeigten Einbruchsdiebstahl im Kanton Luzern am 16./17. November 2015 verübt haben. Die ersten Verfol- gungshandlungen gelten für die im gerichtsstandsrechtlichen Sinn schwerste Tat somit als im Kanton Luzern vorgenommen (vgl. dazu Rapport der Kan- tonspolizei Luzern vom 15. Dezember 2015; act. 1.20).</w:t>
      </w:r>
    </w:p>
    <w:p>
      <w:r>
        <w:t>Der Kanton Zürich hat die Verbindungen zwischen Taten und Tätern umfas- send ermittelt. Die Beschuldigten sind weitgehend geständig. Der Kanton Luzern kann auf die umfangreichen Vorarbeiten im Sammelverfahren des Kantons Zürich abstellen. Ein Abweichen vom gesetzlichen Gerichtsstand ist daher nicht angezeigt. Das Gesuch erweist sich als begründet und es sind die Strafverfolgungsbehörden des Kantons Luzern für berechtigt und ver- pflichtet zu erklären, die den Beschuldigten A., B. und C. zur Last gelegten Delikte zu verfolgen und zu beurteilen.</w:t>
      </w:r>
    </w:p>
    <w:p>
      <w:r>
        <w:rPr>
          <w:b/>
        </w:rPr>
        <w:t>E. 4</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