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BG.2016.15 vom 15. Juni 2016</w:t>
      </w:r>
    </w:p>
    <w:p>
      <w:r>
        <w:t>Bundesstrafgericht, 2016-06-15, DE</w:t>
      </w:r>
    </w:p>
    <w:p>
      <w:r>
        <w:rPr>
          <w:b/>
        </w:rPr>
        <w:t xml:space="preserve">Quelle: </w:t>
      </w:r>
      <w:r>
        <w:t>https://mcp.opencaselaw.ch/entscheid/bstger_BG.2016.15</w:t>
      </w:r>
    </w:p>
    <w:p>
      <w:r>
        <w:t>FR: TPF BG.2016.15 du 15 juin 2016</w:t>
      </w:r>
    </w:p>
    <w:p>
      <w:r>
        <w:t>IT: TPF BG.2016.15 del 15 giugno 2016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August 2011, E. 2.2.2);</w:t>
      </w:r>
    </w:p>
    <w:p>
      <w:r>
        <w:t>- das forum praeventionis vorliegend unbestrittenermassen im Kanton Basel- Landschaft liegt;</w:t>
      </w:r>
    </w:p>
    <w:p>
      <w:r>
        <w:t>- die Übernahme des Gerichtsstandes durch die StA BL folglich im Einklang mit den gesetzlichen Bestimmungen erfolgte;</w:t>
      </w:r>
    </w:p>
    <w:p>
      <w:r>
        <w:t>- der von den Beschwerdeführern behauptete Wohnsitzwechsel für die vorliegende Bestimmung des Gerichtsstandes irrelevant ist (act. 1);</w:t>
      </w:r>
    </w:p>
    <w:p>
      <w:r>
        <w:t>- nach dem Gesagten die Beschwerde als offensichtlich unbegründet abzuweisen ist, was zu einem Kurzverfahren ohne Schriftenwechsel führt;</w:t>
      </w:r>
    </w:p>
    <w:p>
      <w:r>
        <w:t>- bei diesem Ausgang des Verfahrens die Gerichtskosten den Beschwerdeführern unter solidarischer Haftbarkeit aufzuerlegen sind (Art. 428 Abs. 1 StPO);</w:t>
      </w:r>
    </w:p>
    <w:p>
      <w:r>
        <w:t>- die Gerichtsgebühr auf Fr. 400.-- festzusetzen ist (Art. 73 StBOG sowie Art. 5 und Art. 8 Abs. 1 des Reglements des Bundesstrafgerichts vom 31. August 2010 über die Kosten, Gebühren und Entschädigungen in Bundesstrafverfahren,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