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BG.2016.14 vom 14. Juni 2016</w:t>
      </w:r>
    </w:p>
    <w:p>
      <w:r>
        <w:t>Bundesstrafgericht, 2016-06-14, DE</w:t>
      </w:r>
    </w:p>
    <w:p>
      <w:r>
        <w:rPr>
          <w:b/>
        </w:rPr>
        <w:t xml:space="preserve">Quelle: </w:t>
      </w:r>
      <w:r>
        <w:t>https://mcp.opencaselaw.ch/entscheid/bstger_BG.2016.14</w:t>
      </w:r>
    </w:p>
    <w:p>
      <w:r>
        <w:t>FR: TPF BG.2016.14 du 14 juin 2016</w:t>
      </w:r>
    </w:p>
    <w:p>
      <w:r>
        <w:t>IT: TPF BG.2016.14 del 14 giugno 2016</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rPr>
          <w:b/>
        </w:rPr>
        <w:t>E. 2.2</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u. a. die Beschlüsse des Bun- desstrafgerichts BG.2011.49 vom 19. Januar 2012, E. 2.1; BG.2011.33 vom 28. September 2011, E. 2.2.1; BG.2011.4 vom 10. August 2011, E. 2.2.2).</w:t>
      </w:r>
    </w:p>
    <w:p>
      <w:r>
        <w:rPr>
          <w:b/>
        </w:rPr>
        <w:t>E. 2.3</w:t>
      </w:r>
    </w:p>
    <w:p>
      <w:r>
        <w:t>B. wird bandenmässiger Diebstahl (Art. 139 Abs. 3 StGB) als schwerstes Delikt in den Kantonen Schaffhausen und Thurgau vorgeworfen. Seinem Mit- täter A. wird bandenmässiger Diebstahl (Art. 139 Abs. 3 StGB) in den Kan- tonen Thurgau und Bern vorgeworfen. Die erste Verfolgungshandlung be- treffend A. erfolgte 2008 im Kanton Bern.</w:t>
      </w:r>
    </w:p>
    <w:p>
      <w:r>
        <w:t>- 4 -</w:t>
      </w:r>
    </w:p>
    <w:p>
      <w:r>
        <w:t>Aus dem Dargelegten geht hervor, dass der gesetzliche Gerichtsstand von B. gestützt auf das forum praeventionis somit im Kanton Bern liegt. Dies wird vom stellvertretenden Generalstaatsanwalt des Kantons Bern auch nicht be- stritten.</w:t>
      </w:r>
    </w:p>
    <w:p>
      <w:r>
        <w:rPr>
          <w:b/>
        </w:rPr>
        <w:t>E. 2.4</w:t>
      </w:r>
    </w:p>
    <w:p>
      <w:r>
        <w:t>Die Beschwerdekammer kann (wie die beteiligten Staatsanwaltschaften un- tereinander auch) einen andern als den in den Art. 31 – 37 StPO vorgese- henen Gerichtsstand festlegen, wenn der Schwerpunkt der deliktischen Tä- tigkeit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 und die Überlegungen, welche den gesetzlichen Gerichtsstand als unzweck- mässig erscheinen lassen, müssen sich gebieterisch aufdrängen; die Anfor- derungen für ein Abweichen vom gesetzlichen Gerichtsstand sind entspre- chend hoch anzusetzen (vgl. zuletzt Beschluss des Bundesstrafgerichts BG.2014.14 vom 3. September 2014, E. 4.1 m.w.H.).</w:t>
      </w:r>
    </w:p>
    <w:p>
      <w:r>
        <w:rPr>
          <w:b/>
        </w:rPr>
        <w:t>E. 2.5</w:t>
      </w:r>
    </w:p>
    <w:p>
      <w:r>
        <w:t>Dem stellvertretenden Generalstaatsanwalt des Kantons Bern ist insofern zuzustimmen, als die strikte Anwendung von Art. 33 Abs. 2 StPO im Bereich der Bandenkriminalität zu Problemen führen kann. Jedoch liegen in casu keine triftigen Gründe im obgenannten Sinne vor, welche den gesetzlichen Gerichtsstand als unzweckmässig erscheinen lassen:</w:t>
      </w:r>
    </w:p>
    <w:p>
      <w:r>
        <w:t>Einerseits sind die B. vorgeworfen Delikte als überschaubar einzustufen – es liegt kein Grossprozess vor. Zudem führen die Strafverfolgungsbehörden des Kantons Bern ohnehin bereits ein Strafverfahren gegen A. im Zusam- menhang mit den Einbrüchen in Rhein (SH) vom 7. und 8. September 2015. Somit ist der diesbezügliche Mehraufwand betreffend B. nicht sehr gross.</w:t>
      </w:r>
    </w:p>
    <w:p>
      <w:r>
        <w:rPr>
          <w:b/>
        </w:rPr>
        <w:t>E. 2.6</w:t>
      </w:r>
    </w:p>
    <w:p>
      <w:r>
        <w:t>Demnach sind die Strafverfolgungsbehörden des Kantons Bern für berech- tigt und verpflichtet zu erklären, die B. zur Last gelegten Delikte zu verfolgen und zu beurteilen.</w:t>
      </w:r>
    </w:p>
    <w:p>
      <w:r>
        <w:rPr>
          <w:b/>
        </w:rPr>
        <w:t>E. 3</w:t>
      </w:r>
    </w:p>
    <w:p>
      <w:r>
        <w:t>Es ist keine Gerichtsgebühr zu erheben (Art. 423 Abs. 1 StPO).</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