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BG.2016.10 vom 10. Mai 2016</w:t>
      </w:r>
    </w:p>
    <w:p>
      <w:r>
        <w:t>Bundesstrafgericht, 2016-05-10, DE</w:t>
      </w:r>
    </w:p>
    <w:p>
      <w:r>
        <w:rPr>
          <w:b/>
        </w:rPr>
        <w:t xml:space="preserve">Quelle: </w:t>
      </w:r>
      <w:r>
        <w:t>https://mcp.opencaselaw.ch/entscheid/bstger_BG.2016.10</w:t>
      </w:r>
    </w:p>
    <w:p>
      <w:r>
        <w:t>FR: TPF BG.2016.10 du 10 mai 2016</w:t>
      </w:r>
    </w:p>
    <w:p>
      <w:r>
        <w:t>IT: TPF BG.2016.10 del 10 maggio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2.4</w:t>
      </w:r>
    </w:p>
    <w:p>
      <w:r>
        <w:t>Vorliegend ist unbestritten, dass A. in den Kantonen Basel-Stadt und Basel- Landschaft versuchter banden- und gewerbsmässiger Diebstahl, Sachbeschädigung und Hausfriedensbruch vorgeworfen wird: Der Vor- genannte soll in Mittäterschaft mit B. und C. am 6. Februar 2016 um 18.15 Uhr in Z. (BL) (Avisierung der Polizei um 18.28 Uhr) und um 19.02 Uhr in Basel (Avisierung der Polizei um 19.02 Uhr) versucht haben, einen Einbruchsdiebstahl zu begehen (act. 1).</w:t>
      </w:r>
    </w:p>
    <w:p>
      <w:r>
        <w:t>- 4 -</w:t>
      </w:r>
    </w:p>
    <w:p>
      <w:r>
        <w:t>Aufgrund der Randdaten der Mobiltelefone der Obgenannten wurde festgestellt, dass diese am 30. Januar 2016 in die Schweiz eingereist waren. Zudem wurde in Erfahrung gebracht, dass sie sich bei 6 Einbruchs- diebstählen (2 im Versuchsstadium) im Kanton Tessin, welche am</w:t>
      </w:r>
    </w:p>
    <w:p>
      <w:r>
        <w:rPr>
          <w:b/>
        </w:rPr>
        <w:t>E. 2.5</w:t>
      </w:r>
    </w:p>
    <w:p>
      <w:r>
        <w:t>Aus dem Dargelegten geht hervor, dass in Anwendung des Grundsatzes in dubio pro duriore davon auszugehen ist, dass aufgrund der Verdachtslage A. auch die Delikte im Kanton Tessin begangen haben könnte, mithin diese Delikte bei der Bestimmung des Gerichtsstandes zu berücksichtigen sind.</w:t>
      </w:r>
    </w:p>
    <w:p>
      <w:r>
        <w:rPr>
          <w:b/>
        </w:rPr>
        <w:t>E. 2.6</w:t>
      </w:r>
    </w:p>
    <w:p>
      <w:r>
        <w:t>A. werden in den Kantonen Basel-Stadt, Basel-Landschaft und Tessin die gleichen Delikte vorgeworfen, nämlich bandenmässiger und gewerbs- mässiger Diebstahl, Sachbeschädigung und Hausfriedensbruch. Der Umstand, dass die Diebstähle in den Kantonen Basel-Stadt und Basel- Landschaft im Versuchsstadium stecken blieben, ist vorliegend unbeachtlich (vgl. diesbezüglich MOSER/SCHLAPBACH, Schweizerische Strafprozessord- nung [StPO], Basler Kommentar, 2. Aufl., Basel 2014, Art. 34 N. 10, wonach versuchte Einzeltaten eines gewerbsmässigen Delikts gleich schwer wiegen wie die vollendeten). Mithin gilt es im Sinne von Art. 34 Abs. 1 StPO zu prüfen, wo die erste Verfolgungshandlung vorgenommen wurde.</w:t>
      </w:r>
    </w:p>
    <w:p>
      <w:r>
        <w:rPr>
          <w:b/>
        </w:rPr>
        <w:t>E. 2.7</w:t>
      </w:r>
    </w:p>
    <w:p>
      <w:r>
        <w:t>Als Verfolgungshandlungen gelten Vorkehren der Polizei oder Staatsanwalt- schaft, die durch die Vornahme von Erhebungen oder in anderer Weise zu erkennen gibt, dass sie eine bekannte oder unbekannte Täterschaft verdächtigt. Die Entgegennahme einer Strafanzeige (vgl. zuletzt Beschluss des Bundesstrafgerichts BG.2015.26 vom 6. August 2015) oder das Verlangen eines polizeilichen Einsatzes (BAUMGARTNER, Die Zuständigkeit im Strafverfahren, Zürcher Diss., Zürich/Basel/Genf 2014, S. 175 f.) stellen eine Verfolgungshandlung i.S.v. Art. 34 Abs. 1 StPO dar.</w:t>
      </w:r>
    </w:p>
    <w:p>
      <w:r>
        <w:rPr>
          <w:b/>
        </w:rPr>
        <w:t>E. 2.8</w:t>
      </w:r>
    </w:p>
    <w:p>
      <w:r>
        <w:t>Die Tessiner Polizei wurde am 5. Februar 2016 betreffend eines A. vorgeworfenen Einbruchdiebstahls avisiert, mithin bevor sich der A. in den</w:t>
      </w:r>
    </w:p>
    <w:p>
      <w:r>
        <w:t>- 5 -</w:t>
      </w:r>
    </w:p>
    <w:p>
      <w:r>
        <w:t>Kantonen Basel-Stadt und Basel-Landschaft vorgeworfene Sach- verhaltskomplex ereignete. Folglich erfolgte die erste Verfolgungshandlung im Kanton Tessin.</w:t>
      </w:r>
    </w:p>
    <w:p>
      <w:r>
        <w:rPr>
          <w:b/>
        </w:rPr>
        <w:t>E. 2.9</w:t>
      </w:r>
    </w:p>
    <w:p>
      <w:r>
        <w:t>Die Staatsanwaltschaft des Kantons Tessin bringt sinngemäss vor, dass der Gesuchsteller den Gerichtsstand konkludent anerkannt habe, da er schon zahlreiche Verfolgungshandlungen vorgenommen habe. Davon kann keine Rede sein: Die Strafverfolgungsbehörden des Kantons Basel-Stadt haben vorbildlich alle für die Festlegung des Gerichtsstandes wesentlichen Tatsachen erforscht, alle dazu notwendigen Erhebungen durchführt (siehe supra lit. A.) sowie die unaufschiebbaren Massnahmen i.S.v. Art. 42 Abs. 1 StPO getroffen – namentlich den Obgenannten in Untersuchungshaft versetzt. Diese ersten Ermittlungshandlungen haben für sich allein keine zuständigkeitsbegründende Wirkung, denn es wäre unbillig, jene Behörden, welche Abklärungen für die Ermittlung des Gerichtsstandes vornehmen, allein deswegen schon zu verpflichten, nachher auch das ganze Verfahren durchzuführen (Beschluss des Bundesstrafgerichts BG.2013.6 vom 7. Mai 2013, E. 2.4; SCHWERI/BÄNZIGER, Interkantonale Gerichtsstandsbestimmung in Strafsachen, 2. Aufl., Bern 2004, N. 558).</w:t>
      </w:r>
    </w:p>
    <w:p>
      <w:r>
        <w:rPr>
          <w:b/>
        </w:rPr>
        <w:t>E. 2.10</w:t>
      </w:r>
    </w:p>
    <w:p>
      <w:r>
        <w:t>Demnach sind die Strafverfolgungsbehörden des Kantons Tessin für berechtigt und verpflichtet zu erklären, die A. zur Last gelegten Delikte zu verfolgen und zu beurteilen.</w:t>
      </w:r>
    </w:p>
    <w:p>
      <w:r>
        <w:t>3. Es ist keine Gerichtsgebühr zu erheben (Art. 423 Abs. 1 StPO).</w:t>
      </w:r>
    </w:p>
    <w:p>
      <w:r>
        <w:t>- 6 -</w:t>
      </w:r>
    </w:p>
    <w:p>
      <w:r>
        <w:rPr>
          <w:b/>
        </w:rPr>
        <w:t>E. 5</w:t>
      </w:r>
    </w:p>
    <w:p>
      <w:r>
        <w:t>Februar 2016 und 6. Februar 2016 verübt wurden, in unmittelbarer Nähe des Tatortes befanden. Bei diesen Einbruchsdiebstählen war das Vorgehen immer dasselbe und an drei Tatorten wurden identische Schuhsohlen- abdrücke gefunden (act. 1).</w:t>
      </w:r>
    </w:p>
    <w:p>
      <w:r>
        <w:t>Die Randdaten haben zudem ergeben, dass sich A. und seine Mittäter während des von der Staatsanwaltschaft Obwalden gemeldeten Einbruches (siehe supra lit. A.) im Kanton Tessin befanden (act. 1). Mithin kann ihre diesbezügliche Täterschaft ausgeschlossen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