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BG.2015.50 vom 22. April 2016</w:t>
      </w:r>
    </w:p>
    <w:p>
      <w:r>
        <w:t>Bundesstrafgericht, 2016-04-22, DE</w:t>
      </w:r>
    </w:p>
    <w:p>
      <w:r>
        <w:rPr>
          <w:b/>
        </w:rPr>
        <w:t xml:space="preserve">Quelle: </w:t>
      </w:r>
      <w:r>
        <w:t>https://mcp.opencaselaw.ch/entscheid/bstger_BG.2015.50</w:t>
      </w:r>
    </w:p>
    <w:p>
      <w:r>
        <w:t>FR: TPF BG.2015.50 du 22 avril 2016</w:t>
      </w:r>
    </w:p>
    <w:p>
      <w:r>
        <w:t>IT: TPF BG.2015.50 del 22 aprile 2016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rPr>
          <w:b/>
        </w:rPr>
        <w:t>E. 1.2</w:t>
      </w:r>
    </w:p>
    <w:p>
      <w:r>
        <w:t>Die Zuständigkeit des Oberstaatsanwaltes des Kantons Nidwalden, der Be- sonderen Staatsanwältin des Kantons Luzern und der Oberstaatsanwältin des Kantons Obwalden zur Vertretung in Gerichtsstandsangelegenheiten ist unbestritten.</w:t>
      </w:r>
    </w:p>
    <w:p>
      <w:r>
        <w:rPr>
          <w:b/>
        </w:rPr>
        <w:t>E. 1.3</w:t>
      </w:r>
    </w:p>
    <w:p>
      <w:r>
        <w:t>Das gerichtsstandsablehnende Schreiben des Kantons Obwalden ging beim Kanton Nidwalden am 11. Dezember 2015 ein. Damit wurde der Meinungs- austausch abgeschlossen. Das Gesuch des Kantons Nidwalden vom 21. De- zember 2015 ist deshalb im Sinne der obgenannten Rechtsprechung recht- zeitig eingereicht worden. Auf das Gesuch ist einzutreten.</w:t>
      </w:r>
    </w:p>
    <w:p>
      <w:r>
        <w:rPr>
          <w:b/>
        </w:rPr>
        <w:t>E. 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w:t>
      </w:r>
    </w:p>
    <w:p>
      <w:r>
        <w:t>- 5 -</w:t>
      </w:r>
    </w:p>
    <w:p>
      <w:r>
        <w:t>Beurteilung sämtlicher Taten die Behörden des Ortes zuständig, an dem die mit der schwersten Strafe bedrohte Tat begangen worden ist. Bei gleicher Strafdrohung sind die Behörden des Ortes zuständig, an dem zuerst Verfol- gungshandlungen vorgenommen worden sind (Art. 34 Abs. 1 StPO). Bege- hen mehrere Beschuldigte zusammen in verschiedenen Kantonen mehrere Delikte, so sind Art. 33 Abs. 2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zuerst Verfolgungshandlungen vorgenommen worden sind (vgl. hierzu u. a. die Beschlüsse des Bun- desstrafgerichts BG.2011.49 vom 19. Januar 2012, E. 2.1; BG 2011.33 vom 28. September 2011, E. 2.2.1; BG.2011.4 vom 10. August 2011, E. 2.2.2).</w:t>
      </w:r>
    </w:p>
    <w:p>
      <w:r>
        <w:rPr>
          <w:b/>
        </w:rPr>
        <w:t>E. 2.2</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dies kann aus Zweckmässigkeits-, Wirtschaftlichkeits- oder prozessökono- mischen Gründen gerechtfertigt sein (BGE 129 IV 202 E. 2 S. 203; Be- schluss des Bundesstrafgerichts BG.2014.8 vom 9. April 2014 E. 2.1 m.w.H.). Ein Abweichen vom gesetzlichen Gerichtsstand ist u. a. möglich, sofern ein Kanton das Verfahren konkludent anerkannt hat.</w:t>
      </w:r>
    </w:p>
    <w:p>
      <w:r>
        <w:t>Art. 39 Abs. 1 StPO verpflichtet die Strafbehörden von Amtes wegen ihre Zuständigkeit summarisch und beschleunigt zu prüfen. Die mit der Prüfung befasste Behörde muss alle für die Festlegung des Gerichtsstandes wesent- lichen Tatsachen erforschen und die dazu notwendigen Erhebungen durch- führen. Betrachtet sich die Behörde als unzuständig, so leitet sie den Fall rasch an die zuständige Stelle weiter (vgl. Beschluss des Bundesstrafge- richts BB.2013.31 vom 28. Januar 2014 E. 2.2). Wartet sie mit der Gerichts- standsanfrage zu lange zu bzw. unterlässt sie diese, so ist von einer konklu- denten Anerkennung auszugehen (GUIDON/BÄNZIGER, Die aktuelle Recht- sprechung des Bundesstrafgerichts zum interkantonalen Gerichtsstand in Strafsachen, in: Jusletter 21. Mai 2007 [Rz 6]; vgl. auch sinngemäss KUHN, Basler Kommentar, 2. Aufl., Basel 2014, Art. 39 StPO N. 7). Mit Beschluss BB.2013.31 vom 28. Januar 2014 hielt dieses Gericht fest, dass das Ver- streichen von 3,5 Monaten nach der letzten Ermittlungshandlung bis zum</w:t>
      </w:r>
    </w:p>
    <w:p>
      <w:r>
        <w:t>- 6 -</w:t>
      </w:r>
    </w:p>
    <w:p>
      <w:r>
        <w:t>Übernahmeersuchen noch nicht genüge, um eine konkludente Anerkennung annehmen zu können. Die verstrichene Zeit liege jedoch an der oberen Grenze (vgl. Beschluss des Bundesstrafgerichts BB.2013.31 vom 28. Januar 2014 E. 2.3).</w:t>
      </w:r>
    </w:p>
    <w:p>
      <w:r>
        <w:rPr>
          <w:b/>
        </w:rPr>
        <w:t>E. 3.1</w:t>
      </w:r>
    </w:p>
    <w:p>
      <w:r>
        <w:t>Der Gesuchsteller führt gegen die Eheleute A. und D. eine Strafuntersu- chung wegen ungetreuer Geschäftsbesorgung im Sinne von Art. 158 Ziff. 1 Abs. 3 StGB und Widerhandlungen gegen das Bundesgesetz über die Al- ters- und Hinterlassenenversicherung (Art. 87 und 88 AHVG), gegen A. zu- sätzlich noch wegen Widerhandlung gegen Art. 169 StGB (Verfügung über mit Beschlag belegte Vermögenswerte) sowie gegen B. wegen Widerhand- lungen gegen das Bundesgesetz über die Alters- und Hinterlassenenversi- cherung (Art. 87 und 88 AHVG). Das schwerste, den Gerichtsstand bestim- mende Delikt ist die ungetreue Geschäftsbesorgung im Sinne von Art. 158 Ziff. 1 Abs. 3 StGB.</w:t>
      </w:r>
    </w:p>
    <w:p>
      <w:r>
        <w:rPr>
          <w:b/>
        </w:rPr>
        <w:t>E. 3.2</w:t>
      </w:r>
    </w:p>
    <w:p>
      <w:r>
        <w:t>Der Gesuchsteller stellt sich auf den Standpunkt, der Verdacht auf eine qua- lifizierte ungetreue Geschäftsführung, also auf eine Bereicherungsabsicht von A., habe sich erstmals aus den Akten, welche er am 28. Juni 2015 vom Kanton Obwalden (siehe oben lit. D.) erhalten habe, ergeben. Der Kanton Luzern (nachfolgend "Gesuchsgegner 1") seinerseits weist darauf hin, dass sich bereits zum Zeitpunkt der Anzeigeerstattung durch B., also im Septem- ber/Oktober 2014, die Klärung der Gerichtsstandfrage, und insbesondere die Einvernahme von B. aufgedrängt hätten. Dies sei jedoch nicht erfolgt, der Gesuchsteller habe jedoch die Untersuchung ohne Klärung der Gerichts- standsfrage weitergeführt und damit den Gerichtsstand konkludent aner- kannt (act. 3).</w:t>
      </w:r>
    </w:p>
    <w:p>
      <w:r>
        <w:rPr>
          <w:b/>
        </w:rPr>
        <w:t>E. 3.3</w:t>
      </w:r>
    </w:p>
    <w:p>
      <w:r>
        <w:t>Zu prüfen ist damit, ob die Anzeige von B. vom 28. September 2014 und deren Ergänzungen Anhaltspunkte enthalten, welche einerseits auf einen Handlungsort im Kanton Luzern, und andererseits auf eine Bereicherungs- absicht von A. und D. hinweisen. Dies ist zweifellos der Fall, wird doch in der Anzeige und den Ergänzungen – die in keiner Art und Weise unglaubwürdig erscheinen – verschiedenenorts darauf hingewiesen, dass A. und D. in der Arztpraxis in Y. (LU) gearbeitet hätten, dass sie der C. AG unberechtigt er- hebliche Geldbeträge entzogen und sich daran selbst bereichert hätten. Der deutlichste Hinweis, dass in der Arztpraxis in Y. (LU) delinquiert wurde, ergibt sich aus dem Vorwurf, der ebenfalls in der Anzeige enthalten ist und gemäss welchem auch Bareinnahmen und Medikamente unterschlagen worden seien. Es liegt nahe, dass diese Handlungen in der Arztpraxis erfolgt sind. Bereits seit der Anzeige vom 28. September 2014 lagen damit glaubwürdige</w:t>
      </w:r>
    </w:p>
    <w:p>
      <w:r>
        <w:t>- 7 -</w:t>
      </w:r>
    </w:p>
    <w:p>
      <w:r>
        <w:t>und konkrete Anhaltspunkte sowohl bezüglich des Handlungsortes als auch bezüglich der Bereicherungsabsicht von A. vor. Weshalb sich nach Ansicht des Gesuchstellers erst im Zusammenhang mit der Gerichtsstandsanfrage des Kantons Obwalden vom 25. Juni 2015 der Verdacht auf ungetreue Ge- schäftsbesorgung mit Bereicherungsabsicht ergeben haben soll, ist nicht nachvollziehbar.</w:t>
      </w:r>
    </w:p>
    <w:p>
      <w:r>
        <w:rPr>
          <w:b/>
        </w:rPr>
        <w:t>E. 3.4</w:t>
      </w:r>
    </w:p>
    <w:p>
      <w:r>
        <w:t>Die vorbehaltlose Weiterführung der Untersuchung über einen Zeitraum von fast 11 Monaten, nämlich bis zum 18. August 2015, dem Tag, an welchem der Gesuchsteller die Akten zur Prüfung des Gerichtsstandes an den Ge- suchsgegner 1 weiterleitete, kann nur als Anerkennung des Gerichtsstandes durch den Gesuchsteller im Sinne der zitierten Rechtsprechung zu dieser Frage interpretiert werden. Mit anderen Worten hat der Gesuchsteller den Gerichtsstand durch diese Weiterführung der Untersuchung konkludent an- erkannt. Anknüpfungspunkte für einen Gerichtsstand im Kanton Nidwalden ergeben sich aus den Akten genügende – insbesondere der Wohnsitz der Beschuldigten. Aus diesem Grunde kann im heutigen Zeitpunkt auch offen bleiben, wo effektiv der Handlungsort lag: Durch die konkludente Anerken- nung bleibt der Gerichtsstand beim Gesuchsteller. Die Strafverfolgungsbehörden des Kantons Nidwalden sind damit berechtigt und verpflichtet zu erklären, die A., D. und B. zur Last gelegten Straftaten zu verfolgen und zu beurteilen.</w:t>
      </w:r>
    </w:p>
    <w:p>
      <w:r>
        <w:rPr>
          <w:b/>
        </w:rPr>
        <w:t>E. 4</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