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BG.2015.48 vom 23. Dezember 2015</w:t>
      </w:r>
    </w:p>
    <w:p>
      <w:r>
        <w:t>Bundesstrafgericht, 2015-12-23, DE</w:t>
      </w:r>
    </w:p>
    <w:p>
      <w:r>
        <w:rPr>
          <w:b/>
        </w:rPr>
        <w:t xml:space="preserve">Quelle: </w:t>
      </w:r>
      <w:r>
        <w:t>https://mcp.opencaselaw.ch/entscheid/bstger_BG.2015.48</w:t>
      </w:r>
    </w:p>
    <w:p>
      <w:r>
        <w:t>FR: TPF BG.2015.48 du 23 décembre 2015</w:t>
      </w:r>
    </w:p>
    <w:p>
      <w:r>
        <w:t>IT: TPF BG.2015.48 del 23 dicembre 2015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zwischen den involvierten Kantonen und zuständigen Behörden, Frist und</w:t>
      </w:r>
    </w:p>
    <w:p>
      <w:r>
        <w:t>Form, vgl. Beschluss des Bundesstrafgerichts BG.2014.7 vom 21. März 2014, E. 1) sind vorliegend erfüllt und geben zu keinen Bemerkungen Anlass.</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2.3</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2.4</w:t>
      </w:r>
    </w:p>
    <w:p>
      <w:r>
        <w:t>Zwischen den Parteien ist unbestritten, dass A. im Kanton Basel-Stadt u.a. versuchter Raub vorgeworfen wird. Bestritten hingegen ist, wie der Vorfall vom 10. Oktober 2015 rechtlich zu würdigen ist. C., das mutmassliche Opfer, hat diesbezüglich bei der Jugendanwaltschaft des Kantons Basel-Stadt am 29. Oktober 2015 zusammengefasst folgende Aussage gemacht (act. 1.16):</w:t>
      </w:r>
    </w:p>
    <w:p>
      <w:r>
        <w:t>Er sei am 10. Oktober 2015 mit zwei Freunden unterwegs gewesen. Nachdem er bei der Bank D. in Z. Geld abgehoben habe, sei der ihm bis dahin unbekannte A. mit einer Frau und seinem Hund an ihnen vorbei gelaufen. A. habe sie beim Vorbeigehen als "scheiss Kanaken" beschimpft. C. habe ihn gefragt, warum er sie beschimpfe. A. sei daraufhin aggressiv geworden, habe nochmals scheiss Kanaken gerufen und sei weggegangen. In der Folge sei A. davon ausgegangen, dass C. ihn als Hurensohn</w:t>
      </w:r>
    </w:p>
    <w:p>
      <w:r>
        <w:t>beschimpft habe, weswegen er mit einem ca. 20 cm langen Springmesser auf C. zugelaufen sei. Als erstes habe A. C. die scharfe Seite der Klinge stark an die Kehle gepresst. Als C. den Arm von A. weggestossen habe, habe A. versucht ihn zu treten. C. habe den Tritt abgewehrt. Darauf habe A. ihn mit der linken Hand am Kragen gepackt und mit der rechten, in welcher er das Messer gehalten habe, einen Faustschlag verpasst. A. habe dabei C. mit dem Messer am Kinn verletzt. Nach dem Schlag sei A. weggerannt und einer der Freunde von C. habe die Polizei alarmiert. Aufgrund der Verletzung sei C. mit der Ambulanz ins Spital gefahren.</w:t>
      </w:r>
    </w:p>
    <w:p>
      <w:r>
        <w:t>A. bestritt den Vorfall in seiner Einvernahme vom 15. Oktober 2015 bei der Polizei Basel-Landschaft nicht. Jedoch marginalisiert er diesen. Insbesondere machte er geltend, dass er C. nicht mit dem Messer verletzt habe. A., u.a. auch wegen Widerhandlung gegen das Betäubungs- mittelgesetz (mehrfache Begehung) vorbestraft (vgl. act. 1.1), sagte weiter aus, dass er zum Tatzeitpunkt stark betrunken gewesen sei. Er habe zwei Flaschen Rotwein auf "ex getrunken", weshalb seine Erinnerungen nicht mehr sehr präzise seien (act. 1.14).</w:t>
      </w:r>
    </w:p>
    <w:p>
      <w:r>
        <w:t>Gemäss dem Polizeibericht vom 15. Oktober 2015 sei bei C. am 10. Oktober 2015 eine 0.5 cm tiefe und 2 cm lange Schnittverletzung am Kinn festgestellt worden (act. 1.12).</w:t>
      </w:r>
    </w:p>
    <w:p>
      <w:r>
        <w:rPr>
          <w:b/>
        </w:rPr>
        <w:t>E. 2.5</w:t>
      </w:r>
    </w:p>
    <w:p>
      <w:r>
        <w:t>Der Gesuchsteller führt aus, dass das obgenannte Messer dem Waffengesetz unterstellt sei. In Anwendung des Grundsatzes in dubio pro duriore subsumiert er den obgenannten Sachverhalt unter den Tatbestand der versuchten eventualvorsätzlichen Tötung (Art. 111 i.V.m. Art. 12 Abs. 2 und Art. 22 Abs. 1 StGB). Der Gesuchsgegner macht geltend, dass es sich hierbei um eine versuchte schwere Körperverletzung i.S.v. Art. 122 i.V.m. Art. 12 Abs. 2 und Art. 22 Abs. 1 StGB handle (act. 3).</w:t>
      </w:r>
    </w:p>
    <w:p>
      <w:r>
        <w:rPr>
          <w:b/>
        </w:rPr>
        <w:t>E. 2.6</w:t>
      </w:r>
    </w:p>
    <w:p>
      <w:r>
        <w:t>Wer vorsätzlich einen Menschen tötet, wird mit Freiheitsstrafe nicht unter fünf Jahren bestraft (Art. 111 StGB). Vorsätzlich begeht ein Verbrechen oder Vergehen, wer die Tat mit Wissen und Willen ausführt oder wer die Verwirklichung der Tat für möglich hält und in Kauf nimmt (Art. 12 Abs. 2 StGB). Eventualvorsatz, welcher zur Erfüllung des subjektiven Tatbestandes von Art. 111 StGB genügt (BGE 103 IV 65 E. I.2 S. 67 ff.), ist nach ständiger Rechtsprechung gegeben, wenn der Täter die Tatbestandsverwirklichung für möglich hält, aber dennoch handelt, weil er den Erfolg für den Fall seines Eintritts in Kauf nimmt, sich mit ihm abfindet, mag er ihm auch unerwünscht sein (BGE 137 IV 1 E. 4.2.3 S. 4 mit Hinweis).</w:t>
      </w:r>
    </w:p>
    <w:p>
      <w:r>
        <w:t>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(BGE 134 IV 26 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(BGE 137 IV 1 E. 4.2.3; 133 IV 222 E. 5.3).</w:t>
      </w:r>
    </w:p>
    <w:p>
      <w:r>
        <w:rPr>
          <w:b/>
        </w:rPr>
        <w:t>E. 2.7</w:t>
      </w:r>
    </w:p>
    <w:p>
      <w:r>
        <w:t>Aus dem soeben Dargelegten geht hervor, dass die Feststellung des Eventualvorsatzes bzw. dessen Abgrenzung zur bewussten Fahrlässigkeit schwierig sein kann. So auch im vorliegenden Fall. Zwar ist dem Gesuchsgegner insofern zuzustimmen, als dass – gestützt auf die momentane Aktenlage – am Eventualvorsatz von A. in Bezug auf den Vorwurf der vorsätzlichen Tötung berechtigte Zweifel bestehen. Der Gerichtstand bestimmt sich jedoch nicht nach dem, was der Täter begangen hat. Massgebend ist was aufgrund der Aktenlage überhaupt in Frage kommt. Vorliegend soll der stark betrunkene A. C. mit der linken Hand am Kragen festgehalten haben und mit der rechten, in welcher er ein offenes 20 cm langes Springmesser gehalten habe, einen Faustschlag verpasst haben. Dabei habe A. C. mit dem Messer eine 0.5 cm tiefe und 2 cm lange Schnittverletzung zugefügt. Der Vorwurf der eventualvorsätzlichen versuchten Tötung kann hierbei – im Sinne der obgenannten Rechtsprechung – nicht als haltlos oder sicher ausgeschlossen gelten.</w:t>
      </w:r>
    </w:p>
    <w:p>
      <w:r>
        <w:rPr>
          <w:b/>
        </w:rPr>
        <w:t>E. 2.8</w:t>
      </w:r>
    </w:p>
    <w:p>
      <w:r>
        <w:t>Nach dem Gesagten ist in Anwendung des Grundsatzes in dubio pro duriore davon auszugehen, dass A. – im Sinne von Art. 34 Abs. 1 StPO – im Kanton Basel-Landschaft eine versuchte vorsätzliche Tötung vorgeworfen wird.</w:t>
      </w:r>
    </w:p>
    <w:p>
      <w:r>
        <w:t>Raub i.S.v. Art. 140 wird mit Freiheitsstrafe bis zu zehn Jahren oder Geldstrafe nicht unter 180 Tagessätzen bestraft. Mithin ist versuchte vorsätzliche Tötung das schwerere Delikt i.S.v. Art. 34 Abs. 1 StPO. Folglich ist der Kanton Basel-Landschaft berechtigt und verpflichtet, die A. vorgeworfenen strafbaren Handlungen zu verfolgen und zu beurteilen.</w:t>
      </w:r>
    </w:p>
    <w:p>
      <w:r>
        <w:rPr>
          <w:b/>
        </w:rPr>
        <w:t>E. 3</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