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BG.2015.43 vom 26. Oktober 2015</w:t>
      </w:r>
    </w:p>
    <w:p>
      <w:r>
        <w:t>Bundesstrafgericht, 2015-10-26, DE</w:t>
      </w:r>
    </w:p>
    <w:p>
      <w:r>
        <w:rPr>
          <w:b/>
        </w:rPr>
        <w:t xml:space="preserve">Quelle: </w:t>
      </w:r>
      <w:r>
        <w:t>https://mcp.opencaselaw.ch/entscheid/bstger_BG.2015.43</w:t>
      </w:r>
    </w:p>
    <w:p>
      <w:r>
        <w:t>FR: TPF BG.2015.43 du 26 octobre 2015</w:t>
      </w:r>
    </w:p>
    <w:p>
      <w:r>
        <w:t>IT: TPF BG.2015.43 del 26 ottobre 2015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2.2</w:t>
      </w:r>
    </w:p>
    <w:p>
      <w:r>
        <w:t>Strittig ist der Gerichtsstand deshalb, weil das erste angezeigte Delikt in St. Gallen stattfand (Meldedatum 27.03.2015, Nr. 1 im Deliktsverzeichnis, versuchter Einbruchsdiebstahl), dort jedoch nur Spuren von A. und keine sol- chen von B. gefunden wurden. A. und B. hinterliessen Spuren beim Delikt im Kanton Thurgau (Meldedatum 29.03.2015, Nr. 2 im Deliktsverzeichnis, Ein- bruchsdiebstahl). Der Kanton St. Gallen schliesst daraus, dass eine banden- mässige Begehung erstmals im Kanton Thurgau aufgetreten sei, somit dort die mit der schwersten Strafe bedrohte Tat begangen worden und folglich der Kanton Thurgau zuständig sei (act. 3 S. 1).</w:t>
      </w:r>
    </w:p>
    <w:p>
      <w:r>
        <w:rPr>
          <w:b/>
        </w:rPr>
        <w:t>E. 2.3</w:t>
      </w:r>
    </w:p>
    <w:p>
      <w:r>
        <w:t>Wer jemandem eine fremde bewegliche Sache zur Aneignung wegnimmt, um sich oder einen andern damit unrechtmässig zu bereichern, wird mit Frei- heitsstrafe bis zu fünf Jahren oder Geldstrafe bestraft. Der Dieb wird mit Frei- heitsstrafe bis zu zehn Jahren oder Geldstrafe nicht unter 180 Tagessätzen bestraft, wenn er den Diebstahl als Mitglied einer Bande ausführt, die sich zur fortgesetzten Verübung von Raub oder Diebstahl zusammengefunden</w:t>
      </w:r>
    </w:p>
    <w:p>
      <w:r>
        <w:t>- 4 -</w:t>
      </w:r>
    </w:p>
    <w:p>
      <w:r>
        <w:t>hat (Art. 139 Ziff. 1 und 3 StGB). Nach der bundesgerichtlichen Rechtspre- chung ist Bandenmässigkeit gegeben, wenn zwei oder mehrere Täter sich mit dem ausdrücklich oder konkludent geäusserten Willen zusammenfinden, inskünftig zur Verübung mehrerer selbständiger, im Einzelnen möglicher- weise noch unbestimmter Straftaten zusammenzuwirken (BGE 135 IV 158 m.w.H.).</w:t>
      </w:r>
    </w:p>
    <w:p>
      <w:r>
        <w:rPr>
          <w:b/>
        </w:rPr>
        <w:t>E. 2.4</w:t>
      </w:r>
    </w:p>
    <w:p>
      <w:r>
        <w:t>Der Kanton Basel-Landschaft hat die engen Verbindungen zwischen Taten und Tätern konzis und überzeugend ausgebreitet (act. 1 S. 4 Ziff. 3, S. 6 Ziff. 4): A. und B. wurden dreimal gemeinsam polizeilich kontrolliert, bei zwei Delikten wurden Spuren von A. und B. gefunden, beim dritten Delikt wurden sie in flagranti zusammen erwischt. Der Kanton Waadt verurteilte sie mit Strafbefehl vom 9. April 2015 wegen Einbruchdiebstahls als Mittäter. Bei sämtlichen Einbruchdiebstählen wurden Spuren von A. gefunden. Die De- liktsserie geschah innert kurzer Zeit (vom 27. März 2015 bis 17. Juni 2015) und zwischen den Delikten Nr. 1 und Nr. 2 liegt lediglich ein Tag. Weitere Indizien sind, dass zunächst beide ausführten, sie seien seit rund drei Mo- naten gemeinsam im Schengenraum unterwegs. Sodann wurden bei B. Ein- weghandschuhe aufgefunden, was erklären mag, warum er nur wenige Spu- ren hinterliess.</w:t>
      </w:r>
    </w:p>
    <w:p>
      <w:r>
        <w:rPr>
          <w:b/>
        </w:rPr>
        <w:t>E. 2.5</w:t>
      </w:r>
    </w:p>
    <w:p>
      <w:r>
        <w:t>Damit besteht nach dem Grundsatz von in dubio pro duriore der Tatverdacht, dass auch das Delikt Nr. 1 von A. und B. gemeinsam verübt wurde, und dass schon in St. Gallen von einer bandenmässigen Begehung auszugehen ist (vgl. oben Erwägung 2.3). Damit liegt der Gerichtsstand der schwersten Tat (Art. 34 Abs. 1 StPO) im Kanton St. Gallen. Folglich ist der Kanton St. Gallen berechtigt und verpflichtet, die A. und B. vorgeworfenen strafbaren Handlun- gen zu verfolgen und zu beurteilen.</w:t>
      </w:r>
    </w:p>
    <w:p>
      <w:r>
        <w:rPr>
          <w:b/>
        </w:rPr>
        <w:t>E. 3</w:t>
      </w:r>
    </w:p>
    <w:p>
      <w:r>
        <w:t>Es sind keine Gerichtskosten zu erheben (Art. 423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