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BG.2015.37 vom 8. Oktober 2015</w:t>
      </w:r>
    </w:p>
    <w:p>
      <w:r>
        <w:t>Bundesstrafgericht, 2015-10-08, DE</w:t>
      </w:r>
    </w:p>
    <w:p>
      <w:r>
        <w:rPr>
          <w:b/>
        </w:rPr>
        <w:t xml:space="preserve">Quelle: </w:t>
      </w:r>
      <w:r>
        <w:t>https://mcp.opencaselaw.ch/entscheid/bstger_BG.2015.37</w:t>
      </w:r>
    </w:p>
    <w:p>
      <w:r>
        <w:t>FR: TPF BG.2015.37 du 8 octobre 2015</w:t>
      </w:r>
    </w:p>
    <w:p>
      <w:r>
        <w:t>IT: TPF BG.2015.37 del 8 ottobre 2015</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t>Die Eintretensvoraussetzungen geben zu keinen Bemerkungen Anlass. Auf das Gesuch ist einzutreten.</w:t>
      </w:r>
    </w:p>
    <w:p>
      <w:r>
        <w:rPr>
          <w:b/>
        </w:rPr>
        <w:t>E. 2.1</w:t>
      </w:r>
    </w:p>
    <w:p>
      <w:r>
        <w:t>Einleitend ist festzuhalten, dass das Strafverfahren gegen A. bei der Staatsanwaltschaft Baden hängig ist. Der Umstand, dass dieses aufgrund des Ablebens von A. einzustellen sein wird (vgl. Art. 319 Abs. 1 lit. d. StPO; LANDSHUT/BOSSHARD, Kommentar zur Schweizerischen Strafprozess- ordnung [StPO], 2. Aufl., Zürich/Basel/Genf 2014, Art. 319 StPO N. 25), ist für die Festlegung des Gerichtsstandes unbeachtlich.</w:t>
      </w:r>
    </w:p>
    <w:p>
      <w:r>
        <w:rPr>
          <w:b/>
        </w:rPr>
        <w:t>E. 2.2</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2.3</w:t>
      </w:r>
    </w:p>
    <w:p>
      <w:r>
        <w:t>A. wird zur Last gelegt, in Y. (AG) vier Personen erschossen zu haben. Der diesbezügliche Ausführungsort liegt im Kanton Aargau. Den Beschuldigten der Klinik B. wird vorgeworfen, die fürsorgerische Unterbringung von A. in Z. (TG) aufgehoben zu haben. Der Ausführungsort liegt mithin im Kanton Thurgau.</w:t>
      </w:r>
    </w:p>
    <w:p>
      <w:r>
        <w:t>Aus dem Gesagten geht hervor, das der gesetzliche Gerichtsstand – i.S.v. Art. 31 - 37 StPO – betreffend A. im Kanton Aargau liegt und derjenige bezüglich der Beschuldigten der Klinik B. im Kanton Thurgau – die</w:t>
      </w:r>
    </w:p>
    <w:p>
      <w:r>
        <w:t>- 4 -</w:t>
      </w:r>
    </w:p>
    <w:p>
      <w:r>
        <w:t>Anwendung von Art. 33 StPO entfällt, da weder Mittäterschaft noch Teilnahme vorliegt.</w:t>
      </w:r>
    </w:p>
    <w:p>
      <w:r>
        <w:rPr>
          <w:b/>
        </w:rPr>
        <w:t>E. 2.4</w:t>
      </w:r>
    </w:p>
    <w:p>
      <w:r>
        <w:t>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 Gründe voraus; dies kann aus Zweckmässigkeits-, Wirtschaftlichkeits- oder prozessökonomischen Gründen gerechtfertigt sein (BGE 129 IV 202 E. 2 S. 203; Entscheid des Bundesstrafgerichts BG.2007.2 vom 1. März 2007 E. 3.1 m.w.H.; Entscheid des Bundesstrafgerichts BG.2008.19 vom 21. Oktober 2008, E. 3.1).</w:t>
      </w:r>
    </w:p>
    <w:p>
      <w:r>
        <w:t>Ein triftiger Grund i.S.v. Art. 40 Abs. 3 StPO liegt u.a. vor, wenn sich die Anzeigen/Gegenanzeigen auf den gleichen Sachverhaltskomplex beziehen (vgl. Beschluss des Bundesstrafgerichts BG.2014.5 vom 24. April 2014, E. 3.2). Ein weiterer triftiger Grund besteht bei fahrlässiger Tatbegehung, wenn mehrere Täter zusammenwirken und keine Mittäterschaft bzw. Teilnahme (Art. 24 ff. StGB) vorliegt (BAUMGARTNER, Die Zuständigkeit im Strafverfahren, Zürcher Diss., Zürich/Basel/Genf 2014, S. 202). Beispiel: Ein Automechaniker repariert in Zürich die Bremsen eines Fahrzeuges mangelhaft. Der Fahrzeughalter merkt dies bei der Behändigung des Autos, fährt aber trotzdem weiter. In Basel muss er stark bremsen, wobei er infolge der ungenügenden Bremswirkung einen Unfall mit Körperverletzung verursacht. In solchen Konstellationen bestimmt sich der Gerichtsstand nach dem forum praeventionis (vgl. SCHWERI/BÄNZIGER, Interkantonale Gerichtsstandsbestimmung in Strafsachen, 2. Aufl., Bern 2004, S. 80 N. 253).</w:t>
      </w:r>
    </w:p>
    <w:p>
      <w:r>
        <w:rPr>
          <w:b/>
        </w:rPr>
        <w:t>E. 2.5</w:t>
      </w:r>
    </w:p>
    <w:p>
      <w:r>
        <w:t>Beiden Strafverfahren liegt der gleiche Sachverhaltskomplex zu Grunde. Im Sinne des oben Dargelegten ist vorliegend von einem "Zusammenwirken" mehrerer Täter bei der Herbeiführung des Erfolgs auszugehen, ohne dass Mittäterschaft oder Teilnahme vorliegen würden; die Beschuldigten der Klinik B. hoben die fürsorgerische Unterbringung von A. auf, weswegen ihnen fahrlässige Tötung der am 9. Mai 2015 von A. erschossenen Personen vorgeworfen wird.</w:t>
      </w:r>
    </w:p>
    <w:p>
      <w:r>
        <w:t>- 5 -</w:t>
      </w:r>
    </w:p>
    <w:p>
      <w:r>
        <w:t>Nach dem Gesagten legen Zweckmässigkeitgründe eine Vereinigung der Gerichtsstände nahe. Der Umstand, dass A. vorsätzlich gehandelt hat, ist unbeachtlich, da der Grundgedanke derselbe ist wie wenn beide Täter fahrlässig gehandelt hätten. Da das forum praeventionis vorliegend im Kanton Aargau liegt, sind die Strafverfolgungsbehörden des Kantons Aargau für berechtigt und verpflichtet zu erklären, die den Beschuldigten der Klinik B. zur Last gelegten Delikte zu verfolgen und zu beurteilen.</w:t>
      </w:r>
    </w:p>
    <w:p>
      <w:r>
        <w:rPr>
          <w:b/>
        </w:rPr>
        <w:t>E. 3</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