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BG.2015.35 vom 8. Oktober 2015</w:t>
      </w:r>
    </w:p>
    <w:p>
      <w:r>
        <w:t>Bundesstrafgericht, 2015-10-08, DE</w:t>
      </w:r>
    </w:p>
    <w:p>
      <w:r>
        <w:rPr>
          <w:b/>
        </w:rPr>
        <w:t xml:space="preserve">Quelle: </w:t>
      </w:r>
      <w:r>
        <w:t>https://mcp.opencaselaw.ch/entscheid/bstger_BG.2015.35</w:t>
      </w:r>
    </w:p>
    <w:p>
      <w:r>
        <w:t>FR: TPF BG.2015.35 du 8 octobre 2015</w:t>
      </w:r>
    </w:p>
    <w:p>
      <w:r>
        <w:t>IT: TPF BG.2015.35 del 8 ottobre 2015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Verfolgungshandlung sind namentlich die Entgegennahme einer Strafanzeige (vgl. zuletzt Beschluss des Bundesstraf- gerichts BG.2015.26 vom 6. August 2015) oder das Verlangen eines polizei- lichen Einsatzes (BAUMGARTNER, Die Zuständigkeit im Strafverfahren, Zür- cher Diss., Zürich/Basel/Genf 2014, S. 175 f.).</w:t>
      </w:r>
    </w:p>
    <w:p>
      <w:r>
        <w:rPr>
          <w:b/>
        </w:rPr>
        <w:t>E. 2.2</w:t>
      </w:r>
    </w:p>
    <w:p>
      <w:r>
        <w:t>Der Kanton Tessin beruft sich darauf, dass der Kantonspolizei St. Gallen be- reits am 19. Juni 2015 ein Ladendiebstahl im Geschäft F. angezeigt wurde (act. 7.6 Rapport vom 9. Juli 2015), der den gleichen Personen zuzurechnen sei. Er hält dafür, dass damit die erste Verfolgungshandlung im Kanton St. Gallen erfolgt sei. Dies zurecht: Die Kantonspolizei St. Gallen konnte eine Verbindung zwischen den Dieb- stählen in den Geschäften C. und F. herstellen. Sie geht davon aus: "Die gleiche Täterschaft dürfte auch dort einen Ladendiebstahl verübt haben." (Rapport der Kantonspolizei St. Gallen vom 24. Juli 2015). Die dazu in der Stellungnahme des Kantons Tessin vom 22. September 2015 zusammenge- stellten und überzeugenden Verbindungen (act. 9 S. 1) sind unwiderspro- chen geblieben. Es ist davon auszugehen, dass die Diebstähle demselben Personenkreis zugerechnet werden müssen. Die erste Anzeige gegen den Täterkreis erfolgte am 19. Juni 2015 an die Kantonspolizei St. Gallen. Dies stellt zugleich die erste Verfolgungshandlung dar. Damit ist vorliegend nach Art. 34 Abs. 1 StPO (forum praeventionis) der Kanton St. Gallen zuständig.</w:t>
      </w:r>
    </w:p>
    <w:p>
      <w:r>
        <w:rPr>
          <w:b/>
        </w:rPr>
        <w:t>E. 2.3</w:t>
      </w:r>
    </w:p>
    <w:p>
      <w:r>
        <w:t>Zusammengefasst ist der Kanton St. Gallen berechtigt und verpflichtet, die Täter der drei Ladendiebstähle zu verfolgen und zu beurteilen.</w:t>
      </w:r>
    </w:p>
    <w:p>
      <w:r>
        <w:t>- 4 -</w:t>
      </w:r>
    </w:p>
    <w:p>
      <w:r>
        <w:rPr>
          <w:b/>
        </w:rPr>
        <w:t>E. 3</w:t>
      </w:r>
    </w:p>
    <w:p>
      <w:r>
        <w:t>Es sind keine Gerichtskosten zu erheben (Art. 423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