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BG.2015.27 vom 8. Juli 2015</w:t>
      </w:r>
    </w:p>
    <w:p>
      <w:r>
        <w:t>Bundesstrafgericht, 2015-07-08, DE</w:t>
      </w:r>
    </w:p>
    <w:p>
      <w:r>
        <w:rPr>
          <w:b/>
        </w:rPr>
        <w:t xml:space="preserve">Quelle: </w:t>
      </w:r>
      <w:r>
        <w:t>https://mcp.opencaselaw.ch/entscheid/bstger_BG.2015.27</w:t>
      </w:r>
    </w:p>
    <w:p>
      <w:r>
        <w:t>FR: TPF BG.2015.27 du 8 juillet 2015</w:t>
      </w:r>
    </w:p>
    <w:p>
      <w:r>
        <w:t>IT: TPF BG.2015.27 del 8 luglio 2015</w:t>
      </w:r>
    </w:p>
    <w:p>
      <w:pPr>
        <w:pStyle w:val="Heading2"/>
      </w:pPr>
      <w:r>
        <w:t>Regeste</w:t>
      </w:r>
    </w:p>
    <w:p>
      <w:r>
        <w:t>Anfechtung des Gerichtsstands (Art. 41 Abs. 2 StPO).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Mai 2015 das gegen A. durch die Staatsanwaltschaft des Kantons Basel- Stadt geführte Verfahren wegen Widerhandlungen gegen das Strassenverkehrsgesetz sowie Widerhandlungen gegen das Waffengesetz übernahm (act. 1.1);</w:t>
      </w:r>
    </w:p>
    <w:p>
      <w:r>
        <w:t>- A. dagegen mit Beschwerde vom 10. Juni 2015 an die Beschwerdekammer des Bundesstrafgerichts gelangte (act. 1), die Beschwerde jedoch mit Schreiben vom 8. Juli 2015 zurückzog (act. 4);</w:t>
      </w:r>
    </w:p>
    <w:p>
      <w:r>
        <w:t>- der Rückzug der Beschwerde den Rechtsstreit beendet, weshalb das Beschwerdeverfahren als erledigt abzuschreiben ist (vgl. Beschluss des Bundesstrafgerichts BG.2014.39 vom 19. Februar 2015);</w:t>
      </w:r>
    </w:p>
    <w:p>
      <w:r>
        <w:t>- bei diesem Ausgang des Verfahrens der Beschwerdeführer dessen Kosten zu tragen hat (Art. 428 Abs. 1 StPO);</w:t>
      </w:r>
    </w:p>
    <w:p>
      <w:r>
        <w:t>- diese auf das gesetzliche und reglementarische Minimum von Fr. 200.-- festzusetzen sind (Art. 73 StBOG und Art. 5 und 8 Abs. 1 BStKR).</w:t>
      </w:r>
    </w:p>
    <w:p>
      <w:r>
        <w:t>- 3 -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