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BG.2015.26 vom 6. August 2015</w:t>
      </w:r>
    </w:p>
    <w:p>
      <w:r>
        <w:t>Bundesstrafgericht, 2015-08-06, DE</w:t>
      </w:r>
    </w:p>
    <w:p>
      <w:r>
        <w:rPr>
          <w:b/>
        </w:rPr>
        <w:t xml:space="preserve">Quelle: </w:t>
      </w:r>
      <w:r>
        <w:t>https://mcp.opencaselaw.ch/entscheid/bstger_BG.2015.26</w:t>
      </w:r>
    </w:p>
    <w:p>
      <w:r>
        <w:t>FR: TPF BG.2015.26 du 6 août 2015</w:t>
      </w:r>
    </w:p>
    <w:p>
      <w:r>
        <w:t>IT: TPF BG.2015.26 del 6 agosto 2015</w:t>
      </w:r>
    </w:p>
    <w:p>
      <w:pPr>
        <w:pStyle w:val="Heading2"/>
      </w:pPr>
      <w:r>
        <w:t>Regeste</w:t>
      </w:r>
    </w:p>
    <w:p>
      <w:r>
        <w:t>Anfechtung des Gerichtsstands (Art. 41 Abs. 2 StPO).</w:t>
      </w:r>
    </w:p>
    <w:p>
      <w:pPr>
        <w:pStyle w:val="Heading2"/>
      </w:pPr>
      <w:r>
        <w:t>Erwägungen</w:t>
      </w:r>
    </w:p>
    <w:p>
      <w:r>
        <w:rPr>
          <w:b/>
        </w:rPr>
        <w:t>E. 10</w:t>
      </w:r>
    </w:p>
    <w:p>
      <w:r>
        <w:t>Tagen bei der Beschwerdekammer des Bundesstrafgerichts beschweren können (Art. 41 Abs. 2 Satz 1 StPO i.V.m. Art. 37 Abs. 1 StBOG);</w:t>
      </w:r>
    </w:p>
    <w:p>
      <w:r>
        <w:t>- Art. 34 Abs. 1 StPO folgendes festhält: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w:t>
      </w:r>
    </w:p>
    <w:p>
      <w:r>
        <w:t>- als Verfolgungshandlungen Vorkehren der Polizei oder Staatsanwaltschaft gelten, die durch die Vorname von Erhebungen oder in anderer Weise zu erkennen gibt, dass sie eine bekannte oder unbekannte Täterschaft verdächtigt; die Entgegennahme einer Strafanzeige eine Verfolgungshandlung i.S.v. Art. 34 Abs. 1 StPO darstellt (vgl. BARTETZKO, Schweizerische Strafprozessordnung, 2. Aufl., Basel 2014, Art. 31 N. 12);</w:t>
      </w:r>
    </w:p>
    <w:p>
      <w:r>
        <w:t>- Betrug und betrügerischer Missbrauch einer Datenverarbeitungsanlage die schwersten der vorliegend zur Diskussion stehenden Delikte im Sinne von Art. 34 Abs. 1 StPO sind; die erste Verfolgungshandlung vorliegend im Kanton Zug erfolgte (Strafantrag von Donatien Rodriguez Lydia bei der Zuger Polizei vom 6. Januar 2014); die Anerkennung durch die StA ZG folglich im Einklang mit den gesetzlichen Bestimmungen erfolgte; der Beschwerdeführer in seiner Eingabe nichts Gerichtsstandsrelevantes vorbringt;</w:t>
      </w:r>
    </w:p>
    <w:p>
      <w:r>
        <w:t>- die Beschwerde folglich abzuweisen ist;</w:t>
      </w:r>
    </w:p>
    <w:p>
      <w:r>
        <w:t>- gemäss Art. 41 Abs. 2 StPO eine Anfechtungsmöglichkeit gegen Entscheidungen der beteiligten Staatsanwaltschaften über den</w:t>
      </w:r>
    </w:p>
    <w:p>
      <w:r>
        <w:t>- 4 -</w:t>
      </w:r>
    </w:p>
    <w:p>
      <w:r>
        <w:t>Gerichtsstand besteht; diese Entscheide folglich mindestens summarisch zu begründen sind, ansonsten der Betroffene auch nicht wissen kann, ob er nach Art. 41 Abs. 1 oder Abs. 2 StPO vorgehen muss; die vorliegend angefochtene Übernahmeverfügung faktisch keine Begründung enthält (Verfahrensakten 7/28);</w:t>
      </w:r>
    </w:p>
    <w:p>
      <w:r>
        <w:t>- die Begründungspflicht wesentlicher Bestandteil des Anspruchs auf rechtliches Gehörs ist und damit desjenigen auf ein faires Verfahren (BRÜSCHWEILER, Kommentar zur Schweizerischen Strafprozessordnung, Zürich 2010, Art. 80 N. 2); die Verletzung des rechtlichen Gehörs grundsätzlich heilbar ist (BGE 137 I 195 E. 2.3.2); dieses Gericht volle Kognition besitzt (Art. 393 Abs. 2 StPO); die Beschwerdegegner die Übernahmeverfügung nachträglich begründet haben (vgl. Stellungnahme der StA ZG und Beschwerdeantwort des Oberstaatsanwaltes des Kantons Zürich) und der Beschwerdeführer in seiner Replik dazu hätte Stellung nehmen können; in casu die Verletzung des rechtlichen Gehörs im vorliegenden Beschwerdeverfahren heilbar ist (vgl. auch BGE 136 V 117 E. 4.2.2.2; 133 I 201 E. 2.2; 132 V 387 E. 5.1);</w:t>
      </w:r>
    </w:p>
    <w:p>
      <w:r>
        <w:t>- wegen der erst im Rahmen dieses Verfahrens geheilten Verletzung des rechtlichen Gehörs auf die Erhebung einer Gerichtsgebühr zu verzichten ist (vgl. Beschluss des Bundesstrafgerichts BG.2014.15 vom 15. Juli 2014).</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