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BG.2015.24 vom 21. Juli 2015</w:t>
      </w:r>
    </w:p>
    <w:p>
      <w:r>
        <w:t>Bundesstrafgericht, 2015-07-21, FR</w:t>
      </w:r>
    </w:p>
    <w:p>
      <w:r>
        <w:rPr>
          <w:b/>
        </w:rPr>
        <w:t xml:space="preserve">Quelle: </w:t>
      </w:r>
      <w:r>
        <w:t>https://mcp.opencaselaw.ch/entscheid/bstger_BG.2015.24</w:t>
      </w:r>
    </w:p>
    <w:p>
      <w:r>
        <w:t>FR: TPF BG.2015.24 du 21 juillet 2015</w:t>
      </w:r>
    </w:p>
    <w:p>
      <w:r>
        <w:t>IT: TPF BG.2015.24 del 21 luglio 2015</w:t>
      </w:r>
    </w:p>
    <w:p>
      <w:pPr>
        <w:pStyle w:val="Heading2"/>
      </w:pPr>
      <w:r>
        <w:t>Regeste</w:t>
      </w:r>
    </w:p>
    <w:p>
      <w:r>
        <w:t>Conflit de fors (art. 40 al. 2 CPP).</w:t>
      </w:r>
    </w:p>
    <w:p>
      <w:pPr>
        <w:pStyle w:val="Heading2"/>
      </w:pPr>
      <w:r>
        <w:t>Erwägungen</w:t>
      </w:r>
    </w:p>
    <w:p>
      <w:r>
        <w:rPr>
          <w:b/>
        </w:rPr>
        <w:t>E. 39</w:t>
      </w:r>
    </w:p>
    <w:p>
      <w:r>
        <w:t>CPP; SCHWERI/BÄNZIGER, Interkantonale Gerichtsstandsbestimmung in Strafsachen, 2e éd., Berne 2004, n° 599);</w:t>
      </w:r>
    </w:p>
    <w:p>
      <w:r>
        <w:t>- que ce n'est que lorsque celui-ci a échoué qu'il existe un cas de for contesté justifiant l'intervention de la Cour de céans, cet échange de vues devant avoir eu lieu entre tous les cantons dont la compétence à raison du lieu entre sérieusement en considération dans le cas concret (FINGERHUTH/LIEBER, Kommentar zur Schweizerischen Strafprozessordnung, 2e éd. Zurich/Bâle/Genève 2014, n° 9 ad art. 40 CPP; GUIDON/BÄNZIGER, Die aktuelle Rechtsprechung des Bundesstrafgerichts zum interkantonalen Gerichtsstand in Strafsachen, Jusletter du 21 mai 2007, n° 5; SCHWERI/BÄNZIGER, op. cit., n° 569);</w:t>
      </w:r>
    </w:p>
    <w:p>
      <w:r>
        <w:t>- qu'à défaut d'un échange de vues complet et valablement clos, la requête en fixation de for doit être déclarée irrecevable (décisions du Tribunal pénal fédéral BG.2012.31 du 23 août 2012; BG.2012.3 du 23 février 2012, consid. 1 et 3.3; BG.2011.7 du 17 juin 2011, consid. 1.2; BG.2009.4 du 9 mars 2009);</w:t>
      </w:r>
    </w:p>
    <w:p>
      <w:r>
        <w:t>- qu'en l'espèce, un échange de vues est intervenu sur l'état de fait contenu dans la plainte du 13 mai 2015 entre le MP-VD et le MP-BE, mais que le MP-AG n'a visiblement pas encore pu se déterminer sur le for, ni vis-à-vis des autres autorités cantonales intéressées, ni a fortiori, auprès de la Cour de céans;</w:t>
      </w:r>
    </w:p>
    <w:p>
      <w:r>
        <w:t>- qu'au surplus, aucune autorité ne s'est exprimée sur le complexe de fait relatif à la plainte pénale déposée le 7 mai 2015;</w:t>
      </w:r>
    </w:p>
    <w:p>
      <w:r>
        <w:t>- que contrairement à ce que soutient le MP-BE (act. 3), la nécessité de fixer le for existe également lorsqu'il est fort probable qu'une ordonnance de non-entrée en matière doit être rendue, une autorité non compétente ne saurait rendre une telle décision (KUHN, Commentaire bâlois, Schweizerische Strafprozessordnung [StPO], 2e éd., Bâle 2014 [ci- après: BSK StPO], n° 4 ad art. 39 CPP et réf. citées; OMLIN, BSK StPO, n° 9 ad art. 310 CPP);</w:t>
      </w:r>
    </w:p>
    <w:p>
      <w:r>
        <w:t>- que comme l'indique le MP-VD dans son courrier du 14 juillet 2015, "le canton d'Argovie pourrait être impliqué dans le conflit de fors qui oppose les Parquets bernois et vaudois";</w:t>
      </w:r>
    </w:p>
    <w:p>
      <w:r>
        <w:t>- 5 -</w:t>
      </w:r>
    </w:p>
    <w:p>
      <w:r>
        <w:t>- que compte tenu de ces éléments, l'échange de vues requis entre tous les cantons dont la compétence entre sérieusement en considération dans la présente espèce ne peut être tenu pour valablement clos;</w:t>
      </w:r>
    </w:p>
    <w:p>
      <w:r>
        <w:t>- que la requête en fixation de for du canton de Vaud doit ainsi être déclarée irrecevable;</w:t>
      </w:r>
    </w:p>
    <w:p>
      <w:r>
        <w:t>- que ce dernier est invité à entreprendre les mesures nécessaires pour compléter l'échange de vues et, si les cantons concernés ne peuvent toujours pas s'entendre, à soumettre une nouvelle requête en fixation de for à la Cour de céans;</w:t>
      </w:r>
    </w:p>
    <w:p>
      <w:r>
        <w:t>- que 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