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BG.2015.22 vom 13. August 2015</w:t>
      </w:r>
    </w:p>
    <w:p>
      <w:r>
        <w:t>Bundesstrafgericht, 2015-08-13, IT</w:t>
      </w:r>
    </w:p>
    <w:p>
      <w:r>
        <w:rPr>
          <w:b/>
        </w:rPr>
        <w:t xml:space="preserve">Quelle: </w:t>
      </w:r>
      <w:r>
        <w:t>https://mcp.opencaselaw.ch/entscheid/bstger_BG.2015.22</w:t>
      </w:r>
    </w:p>
    <w:p>
      <w:r>
        <w:t>FR: TPF BG.2015.22 du 13 août 2015</w:t>
      </w:r>
    </w:p>
    <w:p>
      <w:r>
        <w:t>IT: TPF BG.2015.22 del 13 agosto 2015</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 tà penali risultano competenti per territorio, i pubblici ministeri interessati si comunicano senza indugio gli elementi essenziali del caso e si adoperano per raggiungere un'intesa il più rapidamente possibile (art. 39 cpv. 2 CPP). Se le autorità di perseguimento penale di più Cantoni non riescono ad ac- cordarsi sul foro competente, il pubblico ministero del Cantone che per pri- mo si è occupato della causa sottopone senza indugio, in ogni caso prima della promozione dell'accusa, la questione al Tribunale penale federale af- finché decida (art. 40 cpv. 2 CPP combinato con l'art. 37 cpv. 1 della legge federale del 19 marzo 2010 sull'organizzazione delle autorità penali della Confederazione [LOAP; RS 173.71] e l'art. 19 del regolamento del 31 ago- sto 2010 sull'organizzazione del Tribunale penale federale [ROTPF; RS 173.713.161]). Riguardo al termine per sottoporre la vertenza alla scri- vente autorità, quest'ultima considera applicabile il termine di 10 giorni pre- visto dall'art. 396 cpv. 1 CPP, dal quale l'autorità richiedente può scostarsi unicamente in circostanze eccezionali che essa è tenuta a specificare (v. segnatamente TPF 2011 94 consid. 2.2). La determinazione dell'autorità legittimata a rappresentare il proprio Cantone nell'ambito dello scambio di vedute o durante la procedura dinnanzi alla Corte dei reclami penali è retta dalle legislazioni cantonali (art. 14 cpv. 4 CPP; ERICH KUHN, Commentario Basilese, Basilea 2014, n. 9 ad art. 39 e n. 10 ad art. 40 CPP; NIKLAUS</w:t>
      </w:r>
    </w:p>
    <w:p>
      <w:r>
        <w:t>- 4 -</w:t>
      </w:r>
    </w:p>
    <w:p>
      <w:r>
        <w:t>SCHMID, Handbuch des schweizerischen Strafprozessrechts, 2a ediz., Zuri- go/San Gallo 2013, n. 488; M. GALLIANI/L. MARCELLINI, Commentario CPP, Zurigo/San Gallo 2010, n. 5 ad art. 40 CPP). Condizione per adire la presente Corte è quindi che tutti i Cantoni coinvolti abbiano provveduto a formulare una loro presa di posizione mediante uno scambio di scritti. Nell'eventualità in cui tale scambio di scritti non abbia portato ad alcun esito, si concretizza un conflitto di foro che giustifica l'in- tervento della scrivente Corte (v. art. 40 cpv. 2 CPP; BERNARD BERTOSSA, Commentario Romando, Basilea 2011, n. 4 ad art. 39 CPP; E. SCHWERI/F. BÄNZIGER, Interkantonale Gerichtsstandsbestimmung in Strafsachen, 2a ediz., Berna 2004, n. 569 e 599; F. FINGERHUTH/V. LIEBER, in A. Do- natsch/T. Hansjakob/V. Lieber (ed.), Kommentar zur Schweizerischen Strafprozessordnung Zurigo/Basilea/Ginevra 2014, n. 9 ad art. 40 CPP; P. GUIDON/F. BÄNZIGER, Die aktuelle Rechtsprechung des Bundesstrafge- richts zum interkantonalen Gerichtsstand in Strafsachen, Jusletter del 21 maggio 2007, n. 5). In assenza di uno scambio di scritti completo e vali- damente terminato, l'istanza di determinazione del foro competente deve essere dichiarata irricevibile (decisioni del Tribunale penale federale BG.2014.31 del 21 gennaio 2015, consid. 1.2; BG.2012.31 del 23 ago- sto 2012; BG.2012.3 del 23 febbraio 2012, consid. 1 e 3.3; BG.2011.7 del 17 giugno 2011, consid. 1.2; BG.2009.4 del 9 marzo 2009; KUHN, op. cit., n. 16 ad art. 40 CPP).</w:t>
      </w:r>
    </w:p>
    <w:p>
      <w:r>
        <w:rPr>
          <w:b/>
        </w:rPr>
        <w:t>E. 1.2</w:t>
      </w:r>
    </w:p>
    <w:p>
      <w:r>
        <w:t>Riguardo alla competenza in ambito di conflitti di foro in seno alle autorità di perseguimento penale ticinesi, questa Corte ha già avuto modo di constata- re che, giusta l'art. 67 cpv. 6 della legge cantonale del 10 maggio 2006 sull'organizzazione giudiziaria (LOG; RL TI 3.1.1.1), la stessa spetta al pro- curatore incaricato del procedimento (v. decisione del Tribunale penale fe- derale BG.2013.16 del 18 luglio 2013, consid. 1.2). Per quanto attiene all'autorità competente del Canton Turgovia, va rilevato che lo scambio di vedute non ha avuto luogo con l'autorità competente in materia, ossia la Generalstaatsanwaltschaft des Kantons Thurgau (GStA/TG) (v. § ZSRG/TG), bensì con il ministero pubblico del distretto di Frauenfeld.</w:t>
      </w:r>
    </w:p>
    <w:p>
      <w:r>
        <w:rPr>
          <w:b/>
        </w:rPr>
        <w:t>E. 1.3</w:t>
      </w:r>
    </w:p>
    <w:p>
      <w:r>
        <w:t>Alla luce di ciò e fintanto che le autorità designate come competenti dalle leggi cantonali nei casi di conflitti di foro non sono state consultate e non si sono espresse, non sussiste un conflitto di foro e non è pertanto possibile adire la Corte dei reclami penali (v. decisioni del Tribunale penale federale BG.2014.31 del 21 gennaio 2015, consid. 1.3; BG.2012.33 del 28 novem- bre 2012, consid. 1.3-1.5; BG.2010.16 del 14 settembre 2010 e BG.2008.13 del 2 luglio 2008, consid. 1.2; SCHWERI/BÄNZIGER, op. cit., n. 564). In applicazione di questi principi, non potendo lo scambio di scritti</w:t>
      </w:r>
    </w:p>
    <w:p>
      <w:r>
        <w:t>- 5 -</w:t>
      </w:r>
    </w:p>
    <w:p>
      <w:r>
        <w:t>tra i Cantoni coinvolti ritenersi concluso al momento della presentazione dell'istanza in parola, quest'ultima deve essere dichiarata irricevibile.</w:t>
      </w:r>
    </w:p>
    <w:p>
      <w:r>
        <w:rPr>
          <w:b/>
        </w:rPr>
        <w:t>E. 2</w:t>
      </w:r>
    </w:p>
    <w:p>
      <w:r>
        <w:t>Per economia processuale, anche volendo considerare terminato lo scam- bio di scritti, va precisato che la domanda di determinazione del foro si sa- rebbe conclusa con l'attribuzione del procedimento in esame alla GStA/TG, e ciò per i seguenti motivi.</w:t>
      </w:r>
    </w:p>
    <w:p>
      <w:r>
        <w:rPr>
          <w:b/>
        </w:rPr>
        <w:t>E. 2.1</w:t>
      </w:r>
    </w:p>
    <w:p>
      <w:r>
        <w:t>Giusta l'art. 31 cpv. 1 prima frase CPP, per il perseguimento e il giudizio sono competenti le autorità del luogo in cui il reato è stato commesso. Tut- tavia, in presenza di reati commessi in Svizzera mediante i mass media se- condo l'articolo 28 CP, sono competenti le autorità del luogo in cui ha sede l'impresa massmediatica (art. 35 cpv. 1 CPP). Se l'autore dell'opera è noto e ha il domicilio o la dimora abituale in Svizzera, sono parimenti competenti le autorità del luogo di domicilio o di dimora abituale. In tal caso il procedi- mento è attuato nel luogo in cui sono stati compiuti i primi atti di persegui- mento. In caso di reati perseguibili a querela di parte, il querelante può scegliere tra i due fori (art. 35 cpv. 2 CPP). L'art. 28 CP presuppone, affin- ché sia data la punibilità dei mass media, che il reato sia stato commesso mediante pubblicazione in un mezzo di comunicazione sociale e consuma- to per effetto della pubblicazione (DTF 128 IV 53 consid. 5c; FRANZ ZELLER, Basler Kommentar, Strafrecht I, 3a ediz., Basilea 2013, n. 50 e segg. e n. 63 e segg. ad art. 28 CP).</w:t>
      </w:r>
    </w:p>
    <w:p>
      <w:r>
        <w:rPr>
          <w:b/>
        </w:rPr>
        <w:t>E. 2.2</w:t>
      </w:r>
    </w:p>
    <w:p>
      <w:r>
        <w:t>Nel caso concreto, i dati in oggetto non sono stati divulgati e messi a di- sposizione del pubblico da parte della RSI, come invece prescritto dall'art. 28 CP (v. act. 1 pag. 2; act. 8 pag. 3; incarto MP/TI, doc. 4). A se- guito del divieto pretorile infatti, la trasmissione "A." mandata in onda il</w:t>
      </w:r>
    </w:p>
    <w:p>
      <w:r>
        <w:rPr>
          <w:b/>
        </w:rPr>
        <w:t>E. 5</w:t>
      </w:r>
    </w:p>
    <w:p>
      <w:r>
        <w:t>marzo 2015 era priva dell'intervista effettuata alla signora B. (denuncian- te). Non risultando dunque applicabile il foro speciale di cui all'art. 35 CPP, la competenza al perseguimento va determinata sulla base dell'art. 31 CPP. Ora, nella fattispecie, sulla base delle informazioni agli atti, va ritenu- to che i fatti rilevanti oggetto della denuncia penale del 25 febbraio 2015 si sono verificati a Z., nel Canton Turgovia (incarto MP/TI, doc. 1). Pertanto, se l'istanza presentata dal MP/TI fosse stata ricevibile, essa sarebbe stata da accogliere nel merito, essendo le autorità turgoviesi competenti per il perseguimento dei reati di in oggetto in virtù dell'art. 31 cpv. 1 CPP, come pure, di conseguenza, sulla decisione di un'eventuale cauzione preventiva giusta l'art. 66 CP.</w:t>
      </w:r>
    </w:p>
    <w:p>
      <w:r>
        <w:t>- 6 -</w:t>
      </w:r>
    </w:p>
    <w:p>
      <w:r>
        <w:t>3. Per la presente decisione non vengono prelevate spese (art. 423 cpv.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