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BG.2015.20 vom 18. September 2015</w:t>
      </w:r>
    </w:p>
    <w:p>
      <w:r>
        <w:t>Bundesstrafgericht, 2015-09-18, DE</w:t>
      </w:r>
    </w:p>
    <w:p>
      <w:r>
        <w:rPr>
          <w:b/>
        </w:rPr>
        <w:t xml:space="preserve">Quelle: </w:t>
      </w:r>
      <w:r>
        <w:t>https://mcp.opencaselaw.ch/entscheid/bstger_BG.2015.20</w:t>
      </w:r>
    </w:p>
    <w:p>
      <w:r>
        <w:t>FR: TPF BG.2015.20 du 18 septembre 2015</w:t>
      </w:r>
    </w:p>
    <w:p>
      <w:r>
        <w:t>IT: TPF BG.2015.20 del 18 settembre 2015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les art. 37 LOAP et 19 du règlement du 31 août 2010 sur l'organisation du Tribunal pénal fédéral [ROTPF; RS 173.713.161]). S’agissant du délai dans lequel l’autorité requérante doit saisir la Cour de céans, il a été décidé de s’en tenir aux dix jours prévus à l’art. 396 al. 1 CPP, exception faite du cas dans lequel l’autorité requérante invoque des circons- tances exceptionnelles qu’il lui incombe de spécifier (v. notamment: arrêts du Tribunal pénal fédéral BG.2011.17 du 15 juillet 2011, consid. 2.1; BG.2011.7 du 17 juin 2011, consid. 2.2).</w:t>
      </w:r>
    </w:p>
    <w:p>
      <w:r>
        <w:rPr>
          <w:b/>
        </w:rPr>
        <w:t>E. 1.2</w:t>
      </w:r>
    </w:p>
    <w:p>
      <w:r>
        <w:t>La demande de fixation de for ayant été déposée dans le délai mentionné plus haut (v. supra consid. 1.1), et les cantons ayant été représentés par des autorités légitimées à le faire, il y a lieu d’entrer en matière sur le fond de la cause.</w:t>
      </w:r>
    </w:p>
    <w:p>
      <w:r>
        <w:rPr>
          <w:b/>
        </w:rPr>
        <w:t>E. 2.1</w:t>
      </w:r>
    </w:p>
    <w:p>
      <w:r>
        <w:t>Selon l’art. 31 al. 1 CPP, l'autorité du lieu où l'acte a été commis est compé- tente pour la poursuite et le jugement de l'infraction. L'alinéa second de cette disposition précise que si l'infraction a été commise en différents lieux, l'auto- rité compétente est celle du lieu où les premiers actes d'enquête ont été en- trepris.</w:t>
      </w:r>
    </w:p>
    <w:p>
      <w:r>
        <w:rPr>
          <w:b/>
        </w:rPr>
        <w:t>E. 2.2.1</w:t>
      </w:r>
    </w:p>
    <w:p>
      <w:r>
        <w:t>La question litigieuse entre les parties à la présente procédure est de savoir où l'infraction dénoncée par l'association A. a – par hypothèse – été com- mise.</w:t>
      </w:r>
    </w:p>
    <w:p>
      <w:r>
        <w:t>Selon les éléments au dossier, l'association A. reproche à la société B. d'avoir violé l'art. 3 al. 1 let. b de la loi fédérale contre la concurrence déloyale</w:t>
      </w:r>
    </w:p>
    <w:p>
      <w:r>
        <w:t>- 5 -</w:t>
      </w:r>
    </w:p>
    <w:p>
      <w:r>
        <w:t>(LCD; RS 241), et ce en mettant sur pied une campagne publicitaire au moyen d'affiches faisant croire aux consommateurs que la totalité des œufs vendus dans ses magasins serait issue d'un élevage respectueux des ani- maux (dossier MP-VD, pièce 4/1, p. 3).</w:t>
      </w:r>
    </w:p>
    <w:p>
      <w:r>
        <w:rPr>
          <w:b/>
        </w:rPr>
        <w:t>E. 2.2.2</w:t>
      </w:r>
    </w:p>
    <w:p>
      <w:r>
        <w:t>Aux termes de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w:t>
      </w:r>
    </w:p>
    <w:p>
      <w:r>
        <w:t>Le comportement ici réprimé appartient certes à la catégorie des délits for- mels (SPITZ, in Bundesgesetz gegen den unlauteren Wettbewerb [UWG], Jung/Spitz [éd.], 2010, no 11 ad art. 27; KILLIAS/GILLÉRON, in Basler Kom- mentar, Bundesgesetz gegen den unlauteren Wettbewerb [UWG], 2013, no 4 ad art. 27), soit ceux punissables indépendamment du fait de savoir si un résultat ultérieur est survenu ou non (KILLIAS et al., Précis de droit pénal gé- néral, 3e éd. 2008, no 217). Il n'en demeure pas moins que, pour être réalisée, l'infraction suppose que des indications – fallacieuses ou inexactes – aient été "données", à savoir que leur, respectivement leurs auteurs se soient ex- primés d'une manière ou d'une autre (JUNG, in Bundesgesetz gegen den un- lauteren Wettbewerb [UWG], Jung/Spitz [éd.], 2010, nos 18 ss ad art. art. 3 let. b; BERGER, in Basler Kommentar, Bundesgesetz gegen den unlauteren Wettbewerb [UWG], 2013, nos 14 ss ad art. 3 al. 1 let. b). Cela signifie en l'espèce que l'argument du MP-VD selon lequel l'infraction aurait été con- sommée au moment de la "réalisation", respectivement de la "conception" ou encore de l'"élaboration" de l'affiche publicitaire tombe à faux. Ce n'est qu'au moment où le contenu de l'affiche a été finalement révélé, à savoir lorsque l'affiche litigieuse a été placardée, que l'infraction a été consommée. Il en résulte que le lieu de commission de l'infraction dénoncée par l'associa- tion A. se situe en terres vaudoises.</w:t>
      </w:r>
    </w:p>
    <w:p>
      <w:r>
        <w:rPr>
          <w:b/>
        </w:rPr>
        <w:t>E. 2.3</w:t>
      </w:r>
    </w:p>
    <w:p>
      <w:r>
        <w:t>S'agissant de l'application de l'art. 36 al. 2 CPP, c'est à raison que le MP-BS relève qu'il n'est en l'état aucunement rendu vraisemblable que les investi- gations à mener dans le cadre de la future procédure ne pourront l'être qu'à l'encontre de la société B. en tant qu'entreprise au sens de l'art. 102 CP, et non pas à l'encontre des personnes physiques ayant – par hypothèse – violé la loi sur la concurrence déloyale. En d'autres termes, la position du MP-VD fait fi du caractère subsidiaire de la responsabilité de l'entreprise par rapport à celle des personnes physiques (art. 102 al. 1 CP; v. à ce propos, DUPUIS et al., Petit Commentaire – Code pénal, 2012, nos 14 ss ad art. 102) et ne saurait être suivie.</w:t>
      </w:r>
    </w:p>
    <w:p>
      <w:r>
        <w:t>- 6 -</w:t>
      </w:r>
    </w:p>
    <w:p>
      <w:r>
        <w:rPr>
          <w:b/>
        </w:rPr>
        <w:t>E. 2.4</w:t>
      </w:r>
    </w:p>
    <w:p>
      <w:r>
        <w:t>En conclusion, aucun élément au dossier ne permet de déroger à l'applica- tion de l'art. 31 al. 1 CPP, dont le principe cardinal du lieu de commission de l'infraction conduit en l'espèce à constater la compétence des autorités de poursuite vaudoises.</w:t>
      </w:r>
    </w:p>
    <w:p>
      <w:r>
        <w:rPr>
          <w:b/>
        </w:rPr>
        <w:t>E. 3</w:t>
      </w:r>
    </w:p>
    <w:p>
      <w:r>
        <w:t>Il résulte de ce qui précède que les autorités de poursuite pénale du canton de Vaud sont déclarées seules compétentes pour poursuivre et juger les in- fractions dénoncées par l'association A. dans sa plainte pénale du 18 mars 2015.</w:t>
      </w:r>
    </w:p>
    <w:p>
      <w:r>
        <w:rPr>
          <w:b/>
        </w:rPr>
        <w:t>E. 4</w:t>
      </w:r>
    </w:p>
    <w:p>
      <w:r>
        <w:t>La présente décision est rendue sans frais (art. 423 al. 1 CPP).</w:t>
      </w:r>
    </w:p>
    <w:p>
      <w:r>
        <w:t>- 7 -</w:t>
      </w:r>
    </w:p>
    <w:p>
      <w:r>
        <w:t>Par ces motifs, la Cour des plaintes prononce:</w:t>
      </w:r>
    </w:p>
    <w:p>
      <w:r>
        <w:t>1. Les autorités de poursuite pénale du canton de Vaud sont déclarées seules compétentes pour poursuivre et juger l'infraction dénoncée par l'association A. dans sa plainte pénale du 18 mars 2015.</w:t>
      </w:r>
    </w:p>
    <w:p>
      <w:r>
        <w:t>2. La présente décision est rendue sans frais.</w:t>
      </w:r>
    </w:p>
    <w:p>
      <w:r>
        <w:t>Bellinzone, le 18 septembre 2015</w:t>
      </w:r>
    </w:p>
    <w:p>
      <w:r>
        <w:t>Au nom de la Cour des plaintes du Tribunal pénal fédéral</w:t>
      </w:r>
    </w:p>
    <w:p>
      <w:r>
        <w:t>Le juge président: Le greffier:</w:t>
      </w:r>
    </w:p>
    <w:p>
      <w:r>
        <w:t>Distribution</w:t>
      </w:r>
    </w:p>
    <w:p>
      <w:r>
        <w:t>- Ministère public central du canton de Vaud - Staatsanwaltschaft des Kantons Basel-Stadt, Abteilung Wirtschaftsdelikte</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