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BG.2015.2 vom 28. Januar 2015</w:t>
      </w:r>
    </w:p>
    <w:p>
      <w:r>
        <w:t>Bundesstrafgericht, 2015-01-28, DE</w:t>
      </w:r>
    </w:p>
    <w:p>
      <w:r>
        <w:rPr>
          <w:b/>
        </w:rPr>
        <w:t xml:space="preserve">Quelle: </w:t>
      </w:r>
      <w:r>
        <w:t>https://mcp.opencaselaw.ch/entscheid/bstger_BG.2015.2</w:t>
      </w:r>
    </w:p>
    <w:p>
      <w:r>
        <w:t>FR: TPF BG.2015.2 du 28 janvier 2015</w:t>
      </w:r>
    </w:p>
    <w:p>
      <w:r>
        <w:t>IT: TPF BG.2015.2 del 28 gennaio 2015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bei der Beschwerdekammer des Bundesstrafgerichts beschwe- ren können (Art. 41 Abs. 2 Satz 1 StPO i.V.m. Art. 37 Abs. 1 StBOG);</w:t>
      </w:r>
    </w:p>
    <w:p>
      <w:r>
        <w:t>- gemäss Art. 34 Abs. 1 StPO für die Verfolgung und Beurteilung sämtlicher Taten die Behörden des Ortes zuständig sind, an dem die mit der schwers- ten Strafe bedrohte Tat begangen worden ist, wenn eine beschuldigte Per- son mehrere Straftaten an verschiedenen Orten verübt hat; bei gleicher Strafdrohung die Behörden des Ortes zuständig sind, an dem zuerst Ver- folgungshandlungen vorgenommen worden sind;</w:t>
      </w:r>
    </w:p>
    <w:p>
      <w:r>
        <w:t>- den betreffenden Verfahrensakten zu entnehmen ist, dass im Kanton Schwyz zuerst Verfolgungshandlungen erfolgten (s.o.); angesichts der glei- chen Strafdrohung sich die verfügte Übernahme des in Luzern geführten Strafverfahrens durch die Staatsanwaltschaft Innerschwyz demnach zu- recht auf Art. 34 Abs. 1 StPO stützt;</w:t>
      </w:r>
    </w:p>
    <w:p>
      <w:r>
        <w:t>- die Beschwerdekammer einen anderen als den in den Artikeln 31 – 37 StPO vorgesehenen Gerichtsstand festlegen kann, wenn der Schwerpunkt der deliktischen Tätigkeit oder die persönlichen Verhältnisse der beschul- digten Person es erfordern oder andere triftige Gründe vorliegen (Art. 40 Abs. 3 StPO);</w:t>
      </w:r>
    </w:p>
    <w:p>
      <w:r>
        <w:t>- die vom Beschwerdeführer im Einzelnen genannten Umstände keinen trifti- gen Grund darstellen, welche ein Abweichen vom gesetzlichen Gerichts- stand rechtfertigen würden; solche Gründe auch anhand der Akten nicht ersichtlich sind;</w:t>
      </w:r>
    </w:p>
    <w:p>
      <w:r>
        <w:t>- sich die Beschwerde gegen die Übernahmeverfügung daher als unbegrün- det erweist und abzuweisen ist;</w:t>
      </w:r>
    </w:p>
    <w:p>
      <w:r>
        <w:t>- bei diesem Ausgang des Verfahrens die Gerichtskosten dem Beschwerde- führer aufzuerlegen sind (Art. 428 Abs. 1 StPO);</w:t>
      </w:r>
    </w:p>
    <w:p>
      <w:r>
        <w:t>- 4 -</w:t>
      </w:r>
    </w:p>
    <w:p>
      <w:r>
        <w:t>- die Gerichtsgebühr auf Fr. 800.-- festzusetzen ist (Art. 73 StBOG sowie Art. 5 und Art. 8 Abs. 1 des Reglements des Bundesstrafgerichts vom 31. August 2010 über die Kosten, Gebühren und Entschädigungen in Bun- desstrafverfahren, BStKR; SR 173.713.162).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