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BG.2014.8 vom 9. April 2014</w:t>
      </w:r>
    </w:p>
    <w:p>
      <w:r>
        <w:t>Bundesstrafgericht, 2014-04-09, DE</w:t>
      </w:r>
    </w:p>
    <w:p>
      <w:r>
        <w:rPr>
          <w:b/>
        </w:rPr>
        <w:t xml:space="preserve">Quelle: </w:t>
      </w:r>
      <w:r>
        <w:t>https://mcp.opencaselaw.ch/entscheid/bstger_BG.2014.8</w:t>
      </w:r>
    </w:p>
    <w:p>
      <w:r>
        <w:t>FR: TPF BG.2014.8 du 9 avril 2014</w:t>
      </w:r>
    </w:p>
    <w:p>
      <w:r>
        <w:t>IT: TPF BG.2014.8 del 9 aprile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2. Aufl., Zürich/St. Gal- len 2013, N. 488; GALLIANI/MARCELLINI, Codice svizzero di procedura pena- le [CPP] – Commentario, Zürich/St. Gallen 2010, n. 5 ad art. 40 CPP).</w:t>
      </w:r>
    </w:p>
    <w:p>
      <w:r>
        <w:rPr>
          <w:b/>
        </w:rPr>
        <w:t>E. 1.2</w:t>
      </w:r>
    </w:p>
    <w:p>
      <w:r>
        <w:t>Die Eintretensvoraussetzungen geben zu keinen Bemerkungen Anlass. Auf das Gesuch ist einzutreten.</w:t>
      </w:r>
    </w:p>
    <w:p>
      <w:r>
        <w:rPr>
          <w:b/>
        </w:rPr>
        <w:t>E. 2.1</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w:t>
      </w:r>
    </w:p>
    <w:p>
      <w:r>
        <w:t>- 6 -</w:t>
      </w:r>
    </w:p>
    <w:p>
      <w:r>
        <w:t>nahme bleiben. Eine Vereinbarung bzw. der Beschluss, einen gesetzlich nicht zuständigen Kanton mit der Verfolgung zu betrauen, setzt triftige Gründe voraus; dies kann aus Zweckmässigkeits-, Wirtschaftlichkeits- oder prozessökonomischen Gründen gerechtfertigt sein (BGE 129 IV 202 E. 2 S. 203; Entscheid des Bundesstrafgerichts BG.2007.2 vom 1. März 2007 E. 3.1 m.w.H.; Entscheid des Bundesstrafgerichts BG.2008.19 vom 21. Ok- tober 2008, E. 3.1). Ein Abweichen vom gesetzlichen Gerichtsstand ist u. a. möglich, sofern ein Kanton das Verfahren durch bestimmte Prozesshand- lungen konkludent übernommen hat. Eine konkludente Anerkennung liegt u.a. beim Erlass eines Strafbefehls vor (Entscheid des Bundesstrafgerichts BG.2008.19 vom 21. Oktober 2008, E. 3.2). Gemäss geltender Rechtspre- chung ist in der Regel eine Änderung des Gerichtsstandes nicht mehr ge- rechtfertigt, wenn die Untersuchung gänzlich oder nahezu abgeschlossen ist (BGE 129 IV 202 E. 2 S. 203; Entscheid des Bundesstrafgerichts BG.2006.13 vom 21. August 2006 E. 4.1).</w:t>
      </w:r>
    </w:p>
    <w:p>
      <w:r>
        <w:rPr>
          <w:b/>
        </w:rPr>
        <w:t>E. 2.2</w:t>
      </w:r>
    </w:p>
    <w:p>
      <w:r>
        <w:t>Am 26. Oktober 2013 entwendeten A. et. al. im F. und im G. insgesamt 82 Zigarettenstangen. Bei ihrer gleichentags erfolgten Anhaltung stellte die Kantonspolizei Zürich 98 Zigarettenstangen sicher. Der protokollführende Polizist der Kantonspolizei Zürich hielt diesbezüglich fest, dass davon aus- zugehen sei, dass die 16 Zigarettenstangen aus einem weiteren Delikt stammten. Nach durchgeführten Einvernahmen von A. et. al. erliess die StA See/Oberland bereits am 28. Oktober 2013 Strafbefehle gegen B., C., D. und E. wegen bandenmässigen Diebstahls. Am 29. Oktober 2013 erteil- te die StA See/Oberland einen Ermittlungsauftrag an die Polizei betreffend A., wobei u.a. abgeklärt werden sollte, ob A. weitere Diebstähle verübt ha- be. Das soeben wiedergegebene Vorgehen der StA See/Oberland er- staunt. Obschon klare diesbezügliche Indizien bestanden und sich die Zür- cher Strafverfolgungsbehörden bewusst waren, dass A. zusammen mit an- deren Tätern noch weitere Delikte begangen haben musste, erliess die StA See/Oberland Strafbefehle gegen C., D., E. und B., ohne vorher weite- re Ermittlungen zu tätigen. Dieses Vorgehen war zwar einerseits effizient und verfahrensökonomisch, es erschwert andererseits jedoch auch das Vorgehen gegen die gleichen Täter bezüglich der in den Kantonen Basel- Landschaft, Bern und Wallis begangenen weiteren Straftaten. Das Vorge- hen des Kantons Zürich widersprach somit auch Sinn und Zweck der Art. 33 und 34 StPO, wonach sämtliche Straftaten eines Täters und mehre- re Täter für die gleiche(n) Tat(en) von der gleichen Behörde gemeinsam verfolgt und beurteilt werden sollen.</w:t>
      </w:r>
    </w:p>
    <w:p>
      <w:r>
        <w:rPr>
          <w:b/>
        </w:rPr>
        <w:t>E. 2.3</w:t>
      </w:r>
    </w:p>
    <w:p>
      <w:r>
        <w:t>Es gilt festzuhalten, dass die StA See/Oberland mit dem Erlass der Strafbe- fehle gegen C., D., E. und B. den Gerichtsstand betreffend die Diebstähle</w:t>
      </w:r>
    </w:p>
    <w:p>
      <w:r>
        <w:t>- 7 -</w:t>
      </w:r>
    </w:p>
    <w:p>
      <w:r>
        <w:t>vom 26. Oktober 2013 konkludent anerkannte. Hinzu kommt, dass ein Wechsel des Gerichtsstandes auch zu vermeiden ist, weil die Diebstahlsuntersuchung betreffend A. nahezu abgeschlossen ist. Dasselbe gilt für die A. vorgeworfenen SVG Delikte - die Kantonspolizei hat diese Widerhandlungen sorgfältig untersucht und ihn dazu einvernommen (siehe supra lit. J.). Die Untersuchungen in den Kantonen Bern, Basel-Landschaft und Wallis hingegen befinden sich nicht in diesem Stadium; es liegen ledig- lich die Aussagen von Auskunftspersonen und A. vor - der Aufenthaltsort der Mittäter ist unbekannt. Entsprechend konnten diese nicht zur Sache einvernommen werden.</w:t>
      </w:r>
    </w:p>
    <w:p>
      <w:r>
        <w:t>Aus den soeben genannten insbesondere verfahrensökonomischen Grün- den sind die Strafverfolgungsbehörden des Kantons Zürich für berechtigt und verpflichtet zu erklären, die den Beschuldigten zur Last gelegten Delik- te zu verfolgen und zu beurteilen.</w:t>
      </w:r>
    </w:p>
    <w:p>
      <w:r>
        <w:rPr>
          <w:b/>
        </w:rPr>
        <w:t>E. 3</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