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BG.2014.4 vom 12. März 2014</w:t>
      </w:r>
    </w:p>
    <w:p>
      <w:r>
        <w:t>Bundesstrafgericht, 2014-03-12, FR</w:t>
      </w:r>
    </w:p>
    <w:p>
      <w:r>
        <w:rPr>
          <w:b/>
        </w:rPr>
        <w:t xml:space="preserve">Quelle: </w:t>
      </w:r>
      <w:r>
        <w:t>https://mcp.opencaselaw.ch/entscheid/bstger_BG.2014.4</w:t>
      </w:r>
    </w:p>
    <w:p>
      <w:r>
        <w:t>FR: TPF BG.2014.4 du 12 mars 2014</w:t>
      </w:r>
    </w:p>
    <w:p>
      <w:r>
        <w:t>IT: TPF BG.2014.4 del 12 marzo 2014</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CPP). En présence d'une décision formelle, les parties peu- vent attaquer dans les dix jours, devant l'autorité compétente, l'attribution du for décidée par les ministères publics concernés (art. 41 al. 2 CPP; BERTOSSA, in Commentaire romand, Code de procédure pénale suisse, 2011, n° 4 ad art. 41; JEANNERET/KUHN, Précis de procédure pénale, 2013, n° 3032 et références citées).</w:t>
      </w:r>
    </w:p>
    <w:p>
      <w:r>
        <w:rPr>
          <w:b/>
        </w:rPr>
        <w:t>E. 1.2</w:t>
      </w:r>
    </w:p>
    <w:p>
      <w:r>
        <w:t>L'art. 41 al. 2 CPP aménage une voie de recours permettant aux parties de soumettre à l'autorité compétente – soit la Cour de céans lorsque se pose la question de la compétence intercantonale (art. 40 al. 2 CPP en lien avec les art. 37 al. 1 de la loi fédérale sur l'organisation des autorités pénales de la Confédération [LOAP; RS 173.71] et 19 al. 1 du règlement sur l'organisa- tion du Tribunal pénal fédéral [ROTPF; RS 173.731.161]) – l'attribution du for décidée par les ministères publics concernés. Cette règle découle de l'art. 30 al. 1 Cst. qui garantit le droit d'être jugé par un tribunal compétent. L'exercice de ce droit suppose en effet que les parties disposent, à une re- prise au moins, de la faculté de soumettre à une autorité de recours toute décision d'un ministère public en matière de compétence ou de for (BER- TOSSA, op. cit., ibid.). Il s'agit en d'autres termes d'éviter que le droit de l'in- téressé à être jugé par un tribunal compétent soit violé. La démarche du recourant s'inscrit précisément dans le cadre susmentionné, puisqu'il s'en prend à l'attribution de for décidée d'entente entre le MP-VD et le MP-VS.</w:t>
      </w:r>
    </w:p>
    <w:p>
      <w:r>
        <w:rPr>
          <w:b/>
        </w:rPr>
        <w:t>E. 1.3</w:t>
      </w:r>
    </w:p>
    <w:p>
      <w:r>
        <w:t>Le recours est ainsi recevable en la forme.</w:t>
      </w:r>
    </w:p>
    <w:p>
      <w:r>
        <w:rPr>
          <w:b/>
        </w:rPr>
        <w:t>E. 2</w:t>
      </w:r>
    </w:p>
    <w:p>
      <w:r>
        <w:t>Par un grief d’ordre formel qu’il convient d’examiner en premier lieu, le re- courant reproche au MP-VD d’avoir violé son droit d’être entendu, et ce sous l’angle du droit à une décision motivée (act. 1, p. 10 s.).</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w:t>
      </w:r>
    </w:p>
    <w:p>
      <w:r>
        <w:t>- 6 -</w:t>
      </w:r>
    </w:p>
    <w:p>
      <w:r>
        <w:t>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2.2</w:t>
      </w:r>
    </w:p>
    <w:p>
      <w:r>
        <w:t>Le recourant invoque en l'espèce le fait que le MP-VD aurait "rendu une ordonnance de reprise d'enquête […] sans qu'aucune motivation n'ait été donnée" (act. 1, p. 10).</w:t>
      </w:r>
    </w:p>
    <w:p>
      <w:r>
        <w:t>Force est de relever que la motivation de la décision entreprise se révèle des plus sommaires et que son auteur eût été inspiré de la détailler un tant soit peu. Cela étant, pareil constat ne suffit – en l'espèce – pas à conclure à la violation de l'art. 29 al. 2 Cst., et ce dans la mesure où une lecture atten- tive de l'acte permet néanmoins de comprendre le raisonnement du MP- VD. En effet, même si les informations relatives aux différentes procédures ouvertes contre le recourant peuvent prêter à confusion s'agissant de leur nombre, on comprend néanmoins que tant le MP-VD que le MP-VS sont saisis de causes le concernant. Il est ainsi fait mention d'une enquête pour escroquerie, d'une part, et d'une autre pour infraction à la LIFD, d'autre part. Par ailleurs, le MP-VD indique expressément que les autorités vau- doises ont accepté de "reprendre les cas ouverts dans le canton du Valais, en application de l'art. 34 CPP", disposition prévoyant notamment que "[l]orsque le prévenu a commis plusieurs infractions en des lieux différents, l'autorité du lieu où a été commise l'infraction punie de la peine la plus gra- ve est compétente pour la poursuite et le jugement de toutes les infrac- tions".</w:t>
      </w:r>
    </w:p>
    <w:p>
      <w:r>
        <w:t>En tant qu’elle permet néanmoins au recourant, assisté d’un mandataire professionnel, d’apprécier correctement la portée de la décision et de l'at- taquer à bon escient, la motivation livrée par le MP-VD à l'appui de sa déci- sion peut – encore – être considérée comme suffisante au regard de</w:t>
      </w:r>
    </w:p>
    <w:p>
      <w:r>
        <w:t>- 7 -</w:t>
      </w:r>
    </w:p>
    <w:p>
      <w:r>
        <w:t>l'art. 29 al. 2 Cst. Le grief tiré de la violation de l’obligation de motiver s’avère ainsi mal fondé.</w:t>
      </w:r>
    </w:p>
    <w:p>
      <w:r>
        <w:rPr>
          <w:b/>
        </w:rPr>
        <w:t>E. 3</w:t>
      </w:r>
    </w:p>
    <w:p>
      <w:r>
        <w:t>Dans son grief suivant, le recourant invoque le fait qu'"aucune jonction des causes ne doit être prononcée", se fondant en cela sur les art. 29 et 30 CPP (act. 1, p. 11 ss).</w:t>
      </w:r>
    </w:p>
    <w:p>
      <w:r>
        <w:rPr>
          <w:b/>
        </w:rPr>
        <w:t>E. 3.1</w:t>
      </w:r>
    </w:p>
    <w:p>
      <w:r>
        <w:t>Ces dispositions appartiennent au chapitre 2 du CPP intitulé "Compétence matérielle". Elles figurent plus précisément sous section 2 dudit chapitre, intitulée "Compétence en cas de concours d'infractions". L'art. 29 CPP consacre, à son alinéa 1, le principe de l'unité de la procédure selon lequel les infractions sont poursuivies et jugées conjointement notamment lors- qu'un auteur a commis plusieurs infractions. L'alinéa second précise que "[l]orsque des infractions […] ont été commises dans des cantons différents […], les art. […] 33 à 38 priment". L'art. 30 CPP prévoit, pour sa part, que "[s]i des raisons objectives le justifient, le ministère public et les tribunaux pénaux peuvent ordonner la jonction ou la disjonction de procédures péna- les".</w:t>
      </w:r>
    </w:p>
    <w:p>
      <w:r>
        <w:rPr>
          <w:b/>
        </w:rPr>
        <w:t>E. 3.2</w:t>
      </w:r>
    </w:p>
    <w:p>
      <w:r>
        <w:t>Contrairement à ce qu'affirme le recourant, l'art. 30 CPP ne prime pas les art. 33 ss CPP relatifs au for. Il appert en effet que la latitude donnée par le premier au ministère public et aux tribunaux pénaux de prononcer une jonction, respectivement une disjonction de procédures pénales ne revient qu'à étendre le principe de l'unité de la procédure, respectivement à y dé- roger (v. BERTOSSA, op. cit., no 3 ad art. 30). En ce sens, la disposition aménage, comme son titre l'indique, des "exceptions" au principe consacré à l'art. 29 al. 1 CPP, lequel n'a trait qu'à la compétence matérielle. Or, en l'espèce, la question à résoudre n'est pas celle de savoir s'il y a lieu de joindre ou disjoindre des procédures comme le prévoit l'art. 30 CPP, mais bien plutôt de déterminer quel canton est compétent ratione loci pour me- ner à bien les procédures litigieuses (v. SCHMID, Schweizerische Strafpro- zessordnung, Praxikommentar, 2e éd., 2013, no 1 ad art. 30). En d'autres termes, la question de l'éventuelle application de l'art. 30 CPP ne pourra se poser qu'une fois déterminé le canton compétent. Si l'autorité de céans est compétente pour trancher ce dernier point (v. supra consid. 1), elle ne l'est en revanche pas pour le premier.</w:t>
      </w:r>
    </w:p>
    <w:p>
      <w:r>
        <w:rPr>
          <w:b/>
        </w:rPr>
        <w:t>E. 3.3</w:t>
      </w:r>
    </w:p>
    <w:p>
      <w:r>
        <w:t>En définitive, c'est uniquement à la lumière des art. 33 ss CPP que la pré- sente cause doit être examinée. Il en découle que l'argumentation du re- courant, fondée sur une prémisse erronée – soit la primauté de l'art. 30</w:t>
      </w:r>
    </w:p>
    <w:p>
      <w:r>
        <w:t>- 8 -</w:t>
      </w:r>
    </w:p>
    <w:p>
      <w:r>
        <w:t>CPP sur les art. 33 ss CPP –, n'est pas pertinente et que son grief, tel qu'articulé, doit être rejeté.</w:t>
      </w:r>
    </w:p>
    <w:p>
      <w:r>
        <w:rPr>
          <w:b/>
        </w:rPr>
        <w:t>E. 4</w:t>
      </w:r>
    </w:p>
    <w:p>
      <w:r>
        <w:t>Il reste à vérifier si c'est dans le respect du droit fédéral que la décision entreprise retient le MP-VD comme compétent pour instruire et juger les causes visant le recourant.</w:t>
      </w:r>
    </w:p>
    <w:p>
      <w:r>
        <w:t>Aux termes de l'art. 34 al. 1 CPP, "[l]orsque le prévenu a commis plusieurs infractions en des lieux différents, l'autorité du lieu où a été commise l'in- fraction punie de la peine la plus grave est compétente pour la poursuite et le jugement de toutes les infractions […]" (v. supra consid. 2.2).</w:t>
      </w:r>
    </w:p>
    <w:p>
      <w:r>
        <w:t>En l'espèce, le recourant fait l'objet de deux procédures pénales, l'une ou- verte en 2009 par le MP-VD, l'autre en 2013 par le MP-VS (v. supra let. A). La première l'est notamment du chef d'escroquerie au sens de l'art. 146 CP, alors que la seconde l'est pour usage de faux au sens de l'art. 186 LIFD. Alors que la peine-menace est de cinq ans de peine privative de li- berté en lien avec l'escroquerie, elle n'est que de trois ans en application de l'art. 186 LIFD.</w:t>
      </w:r>
    </w:p>
    <w:p>
      <w:r>
        <w:t>C'est dès lors à raison, et dans le plein respect de la loi, que les autorités de poursuite vaudoises et valaisannes se sont entendues pour attribuer les deux procédures au MP-VD, autorité de poursuite du canton dans lequel l'infraction punie de la peine la plus grave est diligentée.</w:t>
      </w:r>
    </w:p>
    <w:p>
      <w:r>
        <w:rPr>
          <w:b/>
        </w:rPr>
        <w:t>E. 5</w:t>
      </w:r>
    </w:p>
    <w:p>
      <w:r>
        <w:t>S'agissant, enfin, de l'argument selon lequel le MP-VD ne serait en tout état de cause pas compétent pour instruire l'enquête pourtant diligentée depuis 2009 sur sol vaudois, il n'est pas pertinent.</w:t>
      </w:r>
    </w:p>
    <w:p>
      <w:r>
        <w:t>Si, certes, le MP-VD lui-même a, au cours de l'échange de vues avec le MP-VS, exprimé ses doutes quant à sa propre compétence concernant la procédure PE09.[…] (v. supra let. B), il n'en demeure pas moins que ces derniers se sont dissipés rapidement puisque, d'une part, de nouveaux actes d'instruction ont été entrepris par ses soins peu après, et que, d'autre part, la compétence vaudoise pour instruire l'ensemble des procédures dirigées contre le recourant a été admise un mois plus tard (v. supra let. C).</w:t>
      </w:r>
    </w:p>
    <w:p>
      <w:r>
        <w:t>En tout état de cause, il a déjà été relevé que la procédure est notamment ouverte pour soupçons d'escroquerie. Les victimes des agissements reprochés au recourant, si ceux-ci étaient avérés, pourraient se trouver</w:t>
      </w:r>
    </w:p>
    <w:p>
      <w:r>
        <w:t>- 9 -</w:t>
      </w:r>
    </w:p>
    <w:p>
      <w:r>
        <w:t>notamment en terres vaudoises, dès lors que les bouteilles écoulées – et dont le contenu pourrait ne pas avoir correspondu à ce qui figurait sur l'étiquette –, l'ont été par l'enseigne D., présente sur tout le territoire suisse. Dès lors qu'une escroquerie est notamment réputée commise au lieu où survient l'appauvrissement de la victime (ATF 124 IV 241 consid. 4c), et que ce dernier a pu se produire dans le canton de Vaud, force est d'admettre que la compétence vaudoise à cet égard ne saurait être remise en question. Privé de fondement, le grief ne peut être que rejeté.</w:t>
      </w:r>
    </w:p>
    <w:p>
      <w:r>
        <w:rPr>
          <w:b/>
        </w:rPr>
        <w:t>E. 6</w:t>
      </w:r>
    </w:p>
    <w:p>
      <w:r>
        <w:t>Le recours se révèle en définitive en tous points mal fondé, et doit partant être rejeté.</w:t>
      </w:r>
    </w:p>
    <w:p>
      <w:r>
        <w:rPr>
          <w:b/>
        </w:rPr>
        <w:t>E. 7</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 (RFPPF; RS 173.713.162), ils seront fixés à CHF 2'000.-- pour le recourant.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