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BG.2014.38 vom 29. April 2015</w:t>
      </w:r>
    </w:p>
    <w:p>
      <w:r>
        <w:t>Bundesstrafgericht, 2015-04-29, FR</w:t>
      </w:r>
    </w:p>
    <w:p>
      <w:r>
        <w:rPr>
          <w:b/>
        </w:rPr>
        <w:t xml:space="preserve">Quelle: </w:t>
      </w:r>
      <w:r>
        <w:t>https://mcp.opencaselaw.ch/entscheid/bstger_BG.2014.38</w:t>
      </w:r>
    </w:p>
    <w:p>
      <w:r>
        <w:t>FR: TPF BG.2014.38 du 29 avril 2015</w:t>
      </w:r>
    </w:p>
    <w:p>
      <w:r>
        <w:t>IT: TPF BG.2014.38 del 29 aprile 2015</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au Tribunal pénal fédéral (à sa Cour des plaintes), qui tranche (art. 40 al. 2 CPP en lien avec les art. 37 al. 1 de la loi fédérale sur l'organisation des autorités pénales de la Confédération [LOAP; RS 173.71] et 19 al. 1 du règlement du 31 août 2010 sur l’organisation du Tribunal pénal fédéral [ROTPF; RS 173.713.161]).</w:t>
      </w:r>
    </w:p>
    <w:p>
      <w:r>
        <w:t>Après la mise en accusation, la Cour des plaintes du Tribunal pénal fédéral ne peut plus être saisie d'une requête de fixation de for (KUHN, Commen- taire bâlois, Schweizerische Strafprozessordnung, 2e éd., Bâle 2014, n° 14 ad art. 40 CPP).</w:t>
      </w:r>
    </w:p>
    <w:p>
      <w:r>
        <w:rPr>
          <w:b/>
        </w:rPr>
        <w:t>E. 1.2</w:t>
      </w:r>
    </w:p>
    <w:p>
      <w:r>
        <w:t>En l'occurrence, la procédure a été transmise au juge valaisan du siège suite à l'opposition formée contre l'ordonnance de condamnation du 16 mai 2014, en vue des débats. En vertu de l'art. 356 al. 1 CPP, en cas d'opposi- tion, l'ordonnance pénale tient lieu d'acte d'accusation. Les débats n'ont</w:t>
      </w:r>
    </w:p>
    <w:p>
      <w:r>
        <w:t>- 4 -</w:t>
      </w:r>
    </w:p>
    <w:p>
      <w:r>
        <w:t>toutefois pas eu lieu. Le Tribunal des districts d'Hérens et Conthey a en ef- fet considéré que l'ordonnance du 16 mai 2014 n'était pas valable, pour des motifs ayant trait à son contenu qu'il a jugé insuffisant (voir supra let. D). Il s'est aussi interrogé sur la nécessité pour le MP-VS, à nouveau saisi de l'affaire, d'engager la procédure décrite aux articles 39 ss CPP, ce que le MP-VS n'a pas manqué de faire. Les autorités valaisannes et vau- doises ont donc procédé à un échange de vues sans parvenir toutefois à s'entendre. Le MP-VS a saisi le Tribunal pénal fédéral dans les délais ad- mis (voir art. 40 al. 2 CPP; TPF 2011 94 consid. 2.2).</w:t>
      </w:r>
    </w:p>
    <w:p>
      <w:r>
        <w:t>L'ordonnance de condamnation a déjà été transmise au tribunal valaisan en vue de l'organisation des débats. En vertu de l'art. 356 al. 1 CPP, cette ordonnance fait office d'acte d'accusation. Il y a donc eu en l'espèce «mise en accusation» au sens de l'art. 40 al. 2 CPP, ce qui fait a priori obstacle à la saisine du tribunal de céans. Le juge des districts d'Hérens et Conthey ayant invalidé l'ordonnance du 16 mai 2014, on peut s'interroger sur la ma- nière de procéder dans ce genre de situations, en particulier s'il est encore possible de remettre en question le for fixé et d'appliquer la procédure pré- vue à l'art. 40 al. 2 CPP (saisine du Tribunal pénal fédéral).</w:t>
      </w:r>
    </w:p>
    <w:p>
      <w:r>
        <w:rPr>
          <w:b/>
        </w:rPr>
        <w:t>E. 1.3</w:t>
      </w:r>
    </w:p>
    <w:p>
      <w:r>
        <w:t>La Cour de céans a déjà eu l'occasion de se prononcer sur une affaire simi- laire qui concernait le canton de Bâle-Ville (voir décision BG.2013.25 du 25 février 2014). Elle a rappelé que les art. 39 à 42 CPP avaient précisé la procédure à suivre en cas de contestation de for opposant plusieurs can- tons, laquelle n'était réglée que sommairement par les anciens articles 345 CP et 264 PPF. Pour ce faire, comme indiqué dans le message, le lé- gislateur s'était inspiré de la jurisprudence développée par le Tribunal fédé- ral (Message relatif à l'unification du droit de la procédure pénale du 21 décembre 2005, FF 2006 p. 1120). La Cour des plaintes a ainsi rappelé que, selon la jurisprudence, lorsqu'il y avait eu mise en accusation, une modification de compétence devait rester exceptionnelle («aus triftigen Gründen»), ceci pour des motifs d'efficacité et de célérité (voir la décision précitée et les références). La Cour a ainsi considéré que par «mise en ac- cusation», on entendait la première mise en accusation (voir décision BG.2013.25 du 25 février 2014, consid. 1.4).</w:t>
      </w:r>
    </w:p>
    <w:p>
      <w:r>
        <w:t>A cet égard, la référence à Schmid faite par le canton requérant (Schweize- rische Strafprozessordnung, Praxiskommentar, 2e éd, Zurich/St-Gall 2013, n° 3 ad art. 39 CPP) n'est pas pertinente (voir act. 1 p. 4). Dans le cas d'espèce, le juge du Tribunal des districts d'Hérens et Conthey ne s'est pas déclaré incompétent, mais a seulement renvoyé le cas au procureur en vue d'une nouvelle procédure préliminaire (dossier VS, p. 63).</w:t>
      </w:r>
    </w:p>
    <w:p>
      <w:r>
        <w:t>- 5 -</w:t>
      </w:r>
    </w:p>
    <w:p>
      <w:r>
        <w:rPr>
          <w:b/>
        </w:rPr>
        <w:t>E. 1.4</w:t>
      </w:r>
    </w:p>
    <w:p>
      <w:r>
        <w:t>En l'occurrence, les cantons du Valais et de Vaud ont procédé à un échange de vues alors qu'il y avait eu mise en accusation, soit à un stade où la procédure prévue à l'art. 40 al. 2 CPP n'était plus possible, raison pour laquelle il n'est pas entré en matière sur la requête du MP-VS.</w:t>
      </w:r>
    </w:p>
    <w:p>
      <w:r>
        <w:rPr>
          <w:b/>
        </w:rPr>
        <w:t>E. 2</w:t>
      </w:r>
    </w:p>
    <w:p>
      <w:r>
        <w:t>La présente décision est rendue sans frais (art. 423 al. 1 CPP).</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