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BG.2014.36 vom 21. Januar 2015</w:t>
      </w:r>
    </w:p>
    <w:p>
      <w:r>
        <w:t>Bundesstrafgericht, 2015-01-21, DE</w:t>
      </w:r>
    </w:p>
    <w:p>
      <w:r>
        <w:rPr>
          <w:b/>
        </w:rPr>
        <w:t xml:space="preserve">Quelle: </w:t>
      </w:r>
      <w:r>
        <w:t>https://mcp.opencaselaw.ch/entscheid/bstger_BG.2014.36</w:t>
      </w:r>
    </w:p>
    <w:p>
      <w:r>
        <w:t>FR: TPF BG.2014.36 du 21 janvier 2015</w:t>
      </w:r>
    </w:p>
    <w:p>
      <w:r>
        <w:t>IT: TPF BG.2014.36 del 21 gennaio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Die Behörden, welche berechtigt sind, ihren Kanton im Meinungsaustausch und im Verfahren vor der Beschwerdekammer zu vertreten, bestimmen sich nach dem jeweiligen kantonalen Recht (Art. 14 Abs. 4 StPO; vgl. hierzu KUHN, Basler Kommentar,</w:t>
      </w:r>
    </w:p>
    <w:p>
      <w:r>
        <w:rPr>
          <w:b/>
        </w:rPr>
        <w:t>E. 1.2</w:t>
      </w:r>
    </w:p>
    <w:p>
      <w:r>
        <w:t>Die Eintretensvoraussetzungen geben zu keinen Bemerkungen Anlass. Auf das Gesuch ist einzutreten.</w:t>
      </w:r>
    </w:p>
    <w:p>
      <w:r>
        <w:rPr>
          <w:b/>
        </w:rPr>
        <w:t>E. 2</w:t>
      </w:r>
    </w:p>
    <w:p>
      <w:r>
        <w:t>Aufl., Zürich/St. Gallen 2013, N. 488; GALLIANI/MARCELLINI, Codice svizzero di procedura penale [CPP] – Commentario, Zürich/St. Gallen 2010, n. 5 ad art. 40 CPP).</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w:t>
      </w:r>
    </w:p>
    <w:p>
      <w:r>
        <w:t>bedrohte Tat verübt worden ist. Bei gleich schweren Strafdrohungen bestimmt sich der Gerichtsstand für alle Beteiligten nach dem Ort, wo zuerst Verfolgungshandlungen vorgenommen worden sind (vgl. hierzu u. a. die Beschlüsse des Bundesstrafgerichts BG.2011.49 vom 19. Januar 2012, E. 2.1; BG.2011.33 vom 28. September 2011, E. 2.2.1; BG.2011.4 vom 10. August 2011, E. 2.2.2). Die Anwendung von Art. 34 Abs. 1 StPO setzt voraus, dass der Beschuldigte in verschiedenen Kantonen gleichzeitig verfolgt wird. An der Gleichzeitigkeit zweier Strafverfahren in verschiedenen Kantonen fehlt es aber, wenn in einem Kanton das Verfahren beendet war (bspw. durch Nichtanhandnahme- oder Einstellungsverfügung), bevor im neuen Kanton das Verfahren eingeleitet wurde (SCHWERI/BÄNZIGER, Interkantonale Gerichtsstandsbestimmung in Strafsachen, 2. Aufl., Bern 2004, N. 269).</w:t>
      </w:r>
    </w:p>
    <w:p>
      <w:r>
        <w:rPr>
          <w:b/>
        </w:rPr>
        <w:t>E. 2.2</w:t>
      </w:r>
    </w:p>
    <w:p>
      <w:r>
        <w:t>Kanton Luzern: Die Strafanzeige gegen A. et al. vom 27. März 2014 ist am 31. März 2014 bei der StA LU eingegangen, womit A. ab diesem Zeitpunkt im Kanton Luzern i.S.v. Art. 34 Abs. 1 StPO als verfolgt gilt. A. werden im Kanton Luzern verschiedene Delikte vorgeworfen, er soll u.a. mittels den vom ihm beherrschten Aktiengesellschaften (u.a. die F. AG, G. AG und H. AG) Versicherungsbetrüge begangen haben. Gestützt auf die momentane Aktenlage erscheint er als Haupttäter und die Mitbeschuldigten als Mittäter evtl. Gehilfen. Die schwerste ihm im Kanton Luzern vorgeworfene Tat ist gewerbsmässiger Betrug (Art. 146 Abs. 2 StGB).</w:t>
      </w:r>
    </w:p>
    <w:p>
      <w:r>
        <w:t>Kanton Zürich: Die Strafanzeige von B. vom 26. Juni 2010 wegen Betrugs gegen A. et al. wurde mit Nichtanhandnahmeverfügung vom 9. Juni 2011 erledigt, daher vor Eingang der Anzeige im Kanton Luzern. Das Kriterium der gleichzeitigen Verfolgung i.S.v. Art. 34 Abs. 1 StPO ist somit nicht erfüllt, weswegen dieses Verfahren vorliegend grundsätzlich nicht gerichtsstandsrelevant ist. D. erstattete am 14. Juni 2012 Strafanzeige wegen Betrugs gegen unbekannte Täterschaft, wobei in der Folge am. 3. September 2012 A. als mutmasslicher Täter einvernommen wurde. D. legte A. zur Last, 4 iPods bestellt und nicht bezahlt zu haben. Am 18. Dezember 2012, mithin vor Eingang der Strafanzeige im Kanton Luzern, erliess die StA See/Oberland diesbezüglich eine Nichtanhandnahmeverfügung. Das Kriterium der gleichzeitigen Verfolgung i.S.v. Art. 34 Abs. 1 StPO ist somit auch diesbezüglich nicht erfüllt, weswegen dieses Verfahren grundsätzlich nicht gerichtsstands- relevant ist.</w:t>
      </w:r>
    </w:p>
    <w:p>
      <w:r>
        <w:t>Betreffend die Vorwürfe der Urkundenfälschung etc. eröffnete die StA Limmattal/Albis am 27. Januar 2014 eine Strafuntersuchung gegen A.</w:t>
      </w:r>
    </w:p>
    <w:p>
      <w:r>
        <w:t>Dieses Verfahren wurde am 28. März 2014 eingestellt, mithin vor Eingang der Strafanzeige im Kanton Luzern (31. März 2014), weswegen auch hier das Kriterium der gleichzeitigen Verfolgung nicht erfüllt ist.</w:t>
      </w:r>
    </w:p>
    <w:p>
      <w:r>
        <w:rPr>
          <w:b/>
        </w:rPr>
        <w:t>E. 2.3</w:t>
      </w:r>
    </w:p>
    <w:p>
      <w:r>
        <w:t>Die Kantone sollen nicht dadurch, dass sie über die in ihrem Kanton verübten Handlungen vorweg eine Nichtanhandnahme- oder Einstellungsverfügung erlassen, sich ihrer Verpflichtung zur Verfolgung und Beurteilung der in einem anderen Kanton verübten strafbaren Handlungen entziehen können (BGE 76 IV 202 E. 3). Die Beschwerdekammer prüft jedoch nicht, ob die Nichtanhandnahme- oder Einstellverfügung zu Recht erfolgte (SCHWERI/BÄNZIGER, a.a.O., N. 300).</w:t>
      </w:r>
    </w:p>
    <w:p>
      <w:r>
        <w:t>Im Rahmen seiner Einvernahme vom 3. September 2012 sagte A. u.a. aus, bei 20-30 weiteren Unternehmen Produkte mittels seiner Scheinfirmen (F. AG, G. AG und H. AG) bestellt und nicht bezahlt zu haben. In Anwendung des Grundsatzes in dubio pro duriore ist diesbezüglich von gewerbsmässigem Betrug auszugehen. Die Zürcher Strafbehörden haben das Geständnis von A. bis heute nicht behandelt, mithin ist dieses Verfahren noch pendent und A. gilt diesbezüglich als verfolgt i.S.v. Art. 34 Abs. 1 StPO. A. werden somit sowohl im Kanton Zürich als auch im Kanton Luzern gewerbsmässiger Betrug als schwerstes Delikt vorgeworfen. Da die erste Verfolgungshandlung im Kanton Zürich erfolgte (spätestens durch die Einvernahme vom</w:t>
      </w:r>
    </w:p>
    <w:p>
      <w:r>
        <w:rPr>
          <w:b/>
        </w:rPr>
        <w:t>E. 2.4</w:t>
      </w:r>
    </w:p>
    <w:p>
      <w:r>
        <w:t>Nach dem Gesagten ist der Kanton Zürich berechtigt und verpflichtet zu erklären, die A. et al. zur Last gelegten Delikte zu verfolgen und zu beurteilen.</w:t>
      </w:r>
    </w:p>
    <w:p>
      <w:r>
        <w:rPr>
          <w:b/>
        </w:rPr>
        <w:t>E. 3</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