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BG.2014.29 vom 27. Januar 2015</w:t>
      </w:r>
    </w:p>
    <w:p>
      <w:r>
        <w:t>Bundesstrafgericht, 2015-01-27, DE</w:t>
      </w:r>
    </w:p>
    <w:p>
      <w:r>
        <w:rPr>
          <w:b/>
        </w:rPr>
        <w:t xml:space="preserve">Quelle: </w:t>
      </w:r>
      <w:r>
        <w:t>https://mcp.opencaselaw.ch/entscheid/bstger_BG.2014.29</w:t>
      </w:r>
    </w:p>
    <w:p>
      <w:r>
        <w:t>FR: TPF BG.2014.29 du 27 janvier 2015</w:t>
      </w:r>
    </w:p>
    <w:p>
      <w:r>
        <w:t>IT: TPF BG.2014.29 del 27 gennaio 2015</w:t>
      </w:r>
    </w:p>
    <w:p>
      <w:pPr>
        <w:pStyle w:val="Heading2"/>
      </w:pPr>
      <w:r>
        <w:t>Regeste</w:t>
      </w:r>
    </w:p>
    <w:p>
      <w:r>
        <w:t>Gerichtsstandskonflikt (Art. 40 Abs. 2 StPO).</w:t>
      </w:r>
    </w:p>
    <w:p>
      <w:pPr>
        <w:pStyle w:val="Heading2"/>
      </w:pPr>
      <w:r>
        <w:t>Erwägungen</w:t>
      </w:r>
    </w:p>
    <w:p>
      <w:r>
        <w:rPr>
          <w:b/>
        </w:rPr>
        <w:t>E. 1</w:t>
      </w:r>
    </w:p>
    <w:p>
      <w:r>
        <w:t>Die Eintretensvoraussetzungen (Frist, Form, durchgeführter Meinungsaus- tausch zwischen den zuständigen Behörden, vgl. Beschluss des Bun- desstrafgerichts BG.2014.7 vom 21. März 2014, E. 1) sind vorliegend nicht umstritten und erfüllt. Auf das Gesuch um Bestimmung des Gerichtsstan- des ist folglich einzutreten.</w:t>
      </w:r>
    </w:p>
    <w:p>
      <w:r>
        <w:rPr>
          <w:b/>
        </w:rPr>
        <w:t>E. 2.1</w:t>
      </w:r>
    </w:p>
    <w:p>
      <w:r>
        <w:t>Im Einzelnen legen die Parteien dar:</w:t>
      </w:r>
    </w:p>
    <w:p>
      <w:r>
        <w:rPr>
          <w:b/>
        </w:rPr>
        <w:t>E. 2.1.1</w:t>
      </w:r>
    </w:p>
    <w:p>
      <w:r>
        <w:t>Der Kanton Zürich weist auf die rund viermonatige Untätigkeit des Kantons Aargau hin (vom 8. Mai 2014 bis 19. September 2014). Aus den Akten sei nichts ersichtlich, was ein so langes Zuwarten gerechtfertigt hätte. Der Kan- ton Aargau habe damit seine Zuständigkeit konkludent anerkannt. Die für eine Anerkennung erforderlichen Anknüpfungspunkte im Kanton Aargau lägen vor: C. und D. hätten in X. bei A. Wohnung und Wagen erhalten (act. 1 S. 5–7 Ziff. 2–4). A. sei nach dem Grundsatz von in dubio pro duriore als Mittäterin des De- likts in Z. zu betrachten. B. komme allenfalls als Gehilfe in Frage. Im Zu-</w:t>
      </w:r>
    </w:p>
    <w:p>
      <w:r>
        <w:t>- 5 -</w:t>
      </w:r>
    </w:p>
    <w:p>
      <w:r>
        <w:t>sammenhang mit der Abtretung an den Kanton Luzern stehe zudem "der Vorwurf des bandenmässigen Diebstahls im Raume" (Art. 34 Abs. 1 StPO Gerichtsstand des schwersten Delikts). Auch die ersten Verfolgungshand- lungen in diesem Komplex (Art. 33 Abs. 2 StPO forum praeventionis) habe der Kanton Aargau vorgenommen (act. 1 S. 7 f. Ziff. 5).</w:t>
      </w:r>
    </w:p>
    <w:p>
      <w:r>
        <w:rPr>
          <w:b/>
        </w:rPr>
        <w:t>E. 2.1.2</w:t>
      </w:r>
    </w:p>
    <w:p>
      <w:r>
        <w:t>Der Kanton Aargau führt aus, in den fraglichen rund vier Monaten habe die Kantonspolizei durchaus ermittelt. Die Staatsanwaltschaft habe sofort das Übernahmebegehren an Zürich gestellt, als klar war, dass E. oder F. nicht C. und D. seien. Für den Kanton Aargau sei dafür entscheidend gewesen, ob das weitere Verfahren durch ihn oder durch den Kanton Luzern weiter- zuführen sei. Sei diese Frage einmal entschieden gewesen, habe ein unnö- tiges Hin und Her vermieden und dem Kanton Zürich geantwortet werden können (act. 3 S. 1 f.).</w:t>
      </w:r>
    </w:p>
    <w:p>
      <w:r>
        <w:rPr>
          <w:b/>
        </w:rPr>
        <w:t>E. 2.2</w:t>
      </w:r>
    </w:p>
    <w:p>
      <w:r>
        <w:t>Die Kantone Luzern und Zürich waren gleichzeitig und jeweils separat im Meinungsaustausch mit dem Kanton Aargau. Mit den Akten des Kantons Luzern kann die Beschwerdekammer insgesamt den Tatverdacht zur Zeit der Gerichtsstandskorrespondenzen nachvollziehen: Bereits im Jahr 2013 wurden zwei bei A. logierende Litauer per Strafbefehl wegen Einbruchdiebstahls verurteilt. A. scheint regelmässig eine Logistik- basis für Einbrecher gewesen zu sein, vorliegend sowohl für das Duo E./F. (die drei stammen aus dem gleichen litauischen Dorf), wie auch für die mutmasslichen Osteuropäer C./D: Sie organisierte allen Unterkünfte. Sie besorgte E./F. die Wäsche. Sodann war sie daran beteiligt, dass E./F. und C./D. je zu einem Fahrzeug kamen. B. wohnte in W. (AG), war der Halter des von C./D. in Z. genutzten Fahrzeuges und ein Bekannter von A. Der Personenwagen wurde von der Polizei mehrfach in X. beim Wohnort von A. beobachtet (vgl. Antrag der Kantonspolizei Aargau betr. technische Über- wachung vom 1. April 2014, S. 1–3, in Urk. ZH pag. 12; Schlussbericht der Kantonspolizei Aargau vom 11. August 2014, S. 18 ff., 22 ff., in Urk. LU). C. und D. sollen sich nicht mehr in der Schweiz befinden, da auch der Wagen hierzulande nicht mehr gesichtet wurde und sich laut A. in Litauen befinden soll (Aktennotiz der Staatsanwaltschaft Baden vom 4. April 2014, in Urk. ZH; Einvernahme A. vom 25. April 2014, S. 8 und Rapport der Kan- tonspolizei Aargau vom 31. Juli 2014, S. 3, 8, beide in Urk. LU Regis- ter 3.2). Die Polizei durchsuchte die Wohnung von A. und entdeckte in einem ver- schlossenen Sideboard Deliktsgut aus Einbrüchen von E. und F. (Einver- nahme vom 5. August 2014, S. 2, in Urk. AG Register 6). Auch wurde eine</w:t>
      </w:r>
    </w:p>
    <w:p>
      <w:r>
        <w:t>- 6 -</w:t>
      </w:r>
    </w:p>
    <w:p>
      <w:r>
        <w:t>wohl aus dem Einbruch in Z. stammende Halskette gefunden (Vollzugsbe- richt vom 31. Juli 2014, S. 2, in Urk. AG Rubrik 4).</w:t>
      </w:r>
    </w:p>
    <w:p>
      <w:r>
        <w:rPr>
          <w:b/>
        </w:rPr>
        <w:t>E. 2.3</w:t>
      </w:r>
    </w:p>
    <w:p>
      <w:r>
        <w:t>Der Meinungsaustausch ist über sämtliche Delikte und mit den Kantonen zu führen, deren Zuständigkeit ernsthaft in Frage kommt. Es sticht ins Au- ge, dass die Aargauer Korrespondenzen mit den Kantonen Luzern und Zü- rich einen zusammenhängenden Verdachtskomplex betreffen. Somit wären die Gerichtsstandsverfahren mit den Kantonen Luzern und Zürich nicht ge- staffelt (separat), sondern über den ganzen Deliktskomplex und gemein- sam zu führen gewesen. Der Kanton Aargau macht auch nicht geltend, währenddessen Abklärungen zum Delikt in Z. und damit zum Zürcher Ge- richtsstand getätigt zu haben. Mit einem Teil der gemeinsam zu behan- delnden Streitigkeiten vier Monate zuzuwarten war aus diesen Gründen nicht gerechtfertigt. Vielmehr anerkannte der Kanton Aargau mit seinem teilweisen Zuwarten während vier Monaten seine Zuständigkeit gegenüber dem Kanton Zürich konkludent (vgl. TPF 2011 178). Ausserdem bestand – zumal bei der Beurteilung der Gerichtsstandsfrage der Grundsatz in dubio pro duriore gilt (Beschluss des Bundesstrafge- richts BG.2014.18 vom 21. August 2014, E. 2.3) – schon früh der Verdacht, dass A. im Zusammenhang mit Einbruchdiebstählen in Z. und anderswo nicht nur eine untergeordnete Rolle spielen könnte. Ein örtlicher Anknüp- fungspunkt ist mit den Tathandlungen von A. im Kanton Aargau gegeben. Somit ist der Kanton Aargau auch nach Art. 33 Abs. 2 StPO (erste Verfol- gungshandlungen gegen Mittäter) für den hier umstrittenen Sachverhalt in Z. zuständig.</w:t>
      </w:r>
    </w:p>
    <w:p>
      <w:r>
        <w:rPr>
          <w:b/>
        </w:rPr>
        <w:t>E. 2.4</w:t>
      </w:r>
    </w:p>
    <w:p>
      <w:r>
        <w:t>Damit ist der Kanton Aargau berechtigt und verpflichtet, die strafbaren Handlungen, welche Gegenstand des staatsanwaltschaftlichen Meinungs- austausches mit dem Kanton Zürich sind (obige Erwägung lit. C und E), zu verfolgen und zu beurteilen. Von der Staatsanwaltschaft Baden ist überdies zu prüfen, ob wegen der Vorfälle in Z. ein Strafverfahren gegen A. zu eröff- nen ist.</w:t>
      </w:r>
    </w:p>
    <w:p>
      <w:r>
        <w:rPr>
          <w:b/>
        </w:rPr>
        <w:t>E. 2.5</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