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BG.2014.28 vom 18. November 2014</w:t>
      </w:r>
    </w:p>
    <w:p>
      <w:r>
        <w:t>Bundesstrafgericht, 2014-11-18, DE</w:t>
      </w:r>
    </w:p>
    <w:p>
      <w:r>
        <w:rPr>
          <w:b/>
        </w:rPr>
        <w:t xml:space="preserve">Quelle: </w:t>
      </w:r>
      <w:r>
        <w:t>https://mcp.opencaselaw.ch/entscheid/bstger_BG.2014.28</w:t>
      </w:r>
    </w:p>
    <w:p>
      <w:r>
        <w:t>FR: TPF BG.2014.28 du 18 novembre 2014</w:t>
      </w:r>
    </w:p>
    <w:p>
      <w:r>
        <w:t>IT: TPF BG.2014.28 del 18 novembre 2014</w:t>
      </w:r>
    </w:p>
    <w:p>
      <w:pPr>
        <w:pStyle w:val="Heading2"/>
      </w:pPr>
      <w:r>
        <w:t>Regeste</w:t>
      </w:r>
    </w:p>
    <w:p>
      <w:r>
        <w:t>Anfechtung des Gerichtsstands (Art. 41 Abs. 2 StPO).</w:t>
      </w:r>
    </w:p>
    <w:p>
      <w:pPr>
        <w:pStyle w:val="Heading2"/>
      </w:pPr>
      <w:r>
        <w:t>Erwägungen</w:t>
      </w:r>
    </w:p>
    <w:p>
      <w:r>
        <w:rPr>
          <w:b/>
        </w:rPr>
        <w:t>E. 1</w:t>
      </w:r>
    </w:p>
    <w:p>
      <w:r>
        <w:t>Der Gerichtsstand wurde vom Beschuldigten angefochten, ohne zuvor bei der befassten Strafbehörde die Überweisung an die seiner Ansicht nach zuständige Strafbehörde zu verlangen. Mangels Überweisungsverfahren liegt kein gültiges Anfechtungsobjekt für die Beschwerde vor. Nach der amtlich publizierten Rechtsprechung der Beschwerdekammer ist auf die Beschwerde daher nicht einzutreten (TPF 2013 179 E. 1.1–1.2).</w:t>
      </w:r>
    </w:p>
    <w:p>
      <w:r>
        <w:t>Die Eingabe vom 10. November 2014 ist zuständigkeitshalber formell der nach Erlass der Gerichtsstandsverfügungen im Sinne des Gesetzes (Art. 41 Abs. 1 StPO) befassten Staatsanwaltschaft Baden zu überweisen (via Oberstaatsanwaltschaft des Kantons Aargau).</w:t>
      </w:r>
    </w:p>
    <w:p>
      <w:r>
        <w:t>- 3 -</w:t>
      </w:r>
    </w:p>
    <w:p>
      <w:r>
        <w:rPr>
          <w:b/>
        </w:rPr>
        <w:t>E. 2.1</w:t>
      </w:r>
    </w:p>
    <w:p>
      <w:r>
        <w:t>Bei der Auferlegung der Gerichtskosten ist zu berücksichtigen, dass der Beschuldigte der Rechtsmittelbelehrung der Gerichtsstandsverfügungen gemäss handelte. Zudem verletzten die unbegründet zugestellten Gerichts- standsverfügungen das rechtliche Gehör des Beschuldigten, falls die Par- teien vor Erlass weder angehört worden noch ihnen die Gerichtsstandskor- respondenzen zugestellt worden wären (vgl. TPF 2013 179 E. 1.4). Vorlie- gend sind daher keine Gerichtsgebühren zu erheben.</w:t>
      </w:r>
    </w:p>
    <w:p>
      <w:r>
        <w:rPr>
          <w:b/>
        </w:rPr>
        <w:t>E. 2.2</w:t>
      </w:r>
    </w:p>
    <w:p>
      <w:r>
        <w:t>Die unentgeltliche Rechtspflege für die beschuldigte Person beschränkt sich auf die Beiordnung einer amtlichen Verteidigung im Sinne von Art. 132 Abs. 1 lit. b StPO (Urteil des Bundesgerichts 6B_758/2013 vom 11. Novem- ber 2013, E. 3.2). Die Anfechtung des Gerichtsstandes ohne durchgeführ- tes Überweisungsverfahren ist aussichtslos, eine Verteidigung ist für aus- sichtslose Verfahren zur Wahrung der Interessen des Beschuldigten nicht erforderlich (vgl. Art. 132 Abs. 1 lit. b StPO i. V. m. Art. 29 Abs. 3 BV). Das Gesuch um unentgeltliche Rechtspflege bzw. um Bestellung einer amtli- chen Verteidigung im vorliegenden Verfahren (vgl. Art. 133 Abs. 1 StPO) ist somit abzuweisen.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