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BG.2014.26 vom 23. Oktober 2014</w:t>
      </w:r>
    </w:p>
    <w:p>
      <w:r>
        <w:t>Bundesstrafgericht, 2014-10-23, DE</w:t>
      </w:r>
    </w:p>
    <w:p>
      <w:r>
        <w:rPr>
          <w:b/>
        </w:rPr>
        <w:t xml:space="preserve">Quelle: </w:t>
      </w:r>
      <w:r>
        <w:t>https://mcp.opencaselaw.ch/entscheid/bstger_BG.2014.26</w:t>
      </w:r>
    </w:p>
    <w:p>
      <w:r>
        <w:t>FR: TPF BG.2014.26 du 23 octobre 2014</w:t>
      </w:r>
    </w:p>
    <w:p>
      <w:r>
        <w:t>IT: TPF BG.2014.26 del 23 ottobre 2014</w:t>
      </w:r>
    </w:p>
    <w:p>
      <w:pPr>
        <w:pStyle w:val="Heading2"/>
      </w:pPr>
      <w:r>
        <w:t>Regeste</w:t>
      </w:r>
    </w:p>
    <w:p>
      <w:r>
        <w:t>Gerichtsstandskonflikt (Art. 40 Abs. 2 StPO).</w:t>
      </w:r>
    </w:p>
    <w:p>
      <w:pPr>
        <w:pStyle w:val="Heading2"/>
      </w:pPr>
      <w:r>
        <w:t>Erwägungen</w:t>
      </w:r>
    </w:p>
    <w:p>
      <w:r>
        <w:rPr>
          <w:b/>
        </w:rPr>
        <w:t>E. 1.1</w:t>
      </w:r>
    </w:p>
    <w:p>
      <w:r>
        <w:t>Die Zuständigkeit der Beschwerdekammer des Bundesstrafgerichts zum Entscheid über Gerichtsstandsstreitigkeiten ergibt sich aus Art. 40 Abs. 2 sowie Art. 449 Abs. 2 der Strafprozessordnung (StPO; SR 312.0), Art. 37 Abs. 1 des Bundesgesetzes vom 19. März 2010 über die Organisation der Strafbehörden des Bundes (Strafbehördenorganisationsgesetz, StBOG; SR 173.71) sowie Art. 19 Abs. 1 des Organisationsreglements für das Bun- desstrafgericht vom 31. August 2010 (Organisationsreglement BStGer, BStGerOR; SR 173.713.161). Voraussetzung für die Anrufung der Be- schwerdekammer ist, dass ein Streit über einen interkantonalen Gerichts- stand vorliegt und dass die Kantone über diesen Streit einen Meinungsaus- tausch durchgeführt haben (DONATSCH/HANSJAKOB/LIEBER, Kommentar zur Schweizerischen Strafprozessordnung, 2. Aufl., Zürich/Basel/Genf 2014, Art. 40 N. 9). Dabei unterbreitet die Staatsanwaltschaft desjenigen Kan- tons, welcher zuerst mit der Sache befasst war, die Frage unverzüglich dem Gericht (Art. 40 Abs. 2 StPO). Nach der Praxis der Beschwerdekam- mer ist das Kriterium der Unverzüglichkeit erfüllt, wenn das Gerichts- standsgesuch innert 10 Tagen seit dem Abschluss des Meinungsaustau- sches eingereicht wird und keine zwingenden Gründe für ein Abweichen von der 10-Tagefrist vom Gesuchsteller liquid dargelegt werden (siehe Be-</w:t>
      </w:r>
    </w:p>
    <w:p>
      <w:r>
        <w:t>- 4 -</w:t>
      </w:r>
    </w:p>
    <w:p>
      <w:r>
        <w:t>schlüsse des Bundesstrafgerichts BG.2011.7 vom 17. Juni 2011, E. 2.2 und BG.2011.17 vom 15. Juli 2011, E. 2.1).</w:t>
      </w:r>
    </w:p>
    <w:p>
      <w:r>
        <w:rPr>
          <w:b/>
        </w:rPr>
        <w:t>E. 1.2</w:t>
      </w:r>
    </w:p>
    <w:p>
      <w:r>
        <w:t>Die Generalstaatsanwaltschaft des Kantons Thurgau ist berechtigt, den Gesuchsteller in interkantonalen Gerichtsstandskonflikten vor der Be- schwerdekammer des Bundesstrafgerichts zu vertreten (Art. 31 Abs. 1 Satz 1 des Gesetzes über die Zivil- und Strafrechtspflege [ZSRG/TG; TG Rechtsbuch 312.1]). Bezüglich des Gesuchsgegners gilt das Gleiche für die Oberstaatsanwaltschaft des Kantons Zürich.</w:t>
      </w:r>
    </w:p>
    <w:p>
      <w:r>
        <w:t>Der Gesuchsteller hat mit dem Gesuchsgegner vor Einreichung des Ge- suchs einen Meinungsaustausch durchgeführt, wobei sich keine Einigung ergab. Der Meinungsaustausch ist deshalb als abgeschlossen zu betrach- ten.</w:t>
      </w:r>
    </w:p>
    <w:p>
      <w:r>
        <w:t>Auf das Gesuch um Bestimmung des Gerichtsstandes ist einzutreten.</w:t>
      </w:r>
    </w:p>
    <w:p>
      <w:r>
        <w:rPr>
          <w:b/>
        </w:rPr>
        <w:t>E. 1.3</w:t>
      </w:r>
    </w:p>
    <w:p>
      <w:r>
        <w:t>Nicht einzutreten ist auf das Akteneinsichtsgesuch von A., da er nicht Par- tei des vorliegenden Verfahrens ist. Ihm steht das Verfahren nach Art. 41 StPO offen.</w:t>
      </w:r>
    </w:p>
    <w:p>
      <w:r>
        <w:rPr>
          <w:b/>
        </w:rPr>
        <w:t>E. 2</w:t>
      </w:r>
    </w:p>
    <w:p>
      <w:r>
        <w:t>Es ergibt sich aus den Akten, dass von den zwei Verfahrensparteien der Gesuchsgegner als Erster mit der Strafuntersuchung wegen Drogendelik- ten, für welche sich A. als Täter herausstellte, befasst war, wobei davon auszugehen ist, dass es sich bei diesen Drogendelikten um Taten handelt, welche der gleichen Strafdrohung unterliegen. Die Argumentation des Gesuchsgegners, wonach gegen A. persönlich im Zeitpunkt der Ermitt- lungshandlungen (5. August 2009) formell noch keine Untersuchung eröff- net worden war, verfängt nicht, denn es geht bei der Bestimmung des Ge- richtsstandes gemäss Art. 34 Abs. 1 StPO (forum praeventionis) darum, welche Behörde bezüglich der im Sinne dieses Artikels gleichartigen Delik- te zuerst Verfolgungshandlungen vorgenommen hat – keine Rolle spielt dabei, ob der oder die Täter zu diesem Zeitpunkt identifiziert sind, und ob gegen diesen oder diese Täter formell eine Untersuchung eröffnet wurde. Diese Überlegungen führen in der vorliegenden Sache dazu, dass der Gesuchsgegner (Kanton Zürich) zur Verfolgung und Beurteilung der A. zur Last gelegten Delikte als zuständig zu erklären ist.</w:t>
      </w:r>
    </w:p>
    <w:p>
      <w:r>
        <w:rPr>
          <w:b/>
        </w:rPr>
        <w:t>E. 3</w:t>
      </w:r>
    </w:p>
    <w:p>
      <w:r>
        <w:t>Es werden keine Gerichtskosten erhoben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