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BG.2014.25 vom 1. Oktober 2014</w:t>
      </w:r>
    </w:p>
    <w:p>
      <w:r>
        <w:t>Bundesstrafgericht, 2014-10-01, DE</w:t>
      </w:r>
    </w:p>
    <w:p>
      <w:r>
        <w:rPr>
          <w:b/>
        </w:rPr>
        <w:t xml:space="preserve">Quelle: </w:t>
      </w:r>
      <w:r>
        <w:t>https://mcp.opencaselaw.ch/entscheid/bstger_BG.2014.25</w:t>
      </w:r>
    </w:p>
    <w:p>
      <w:r>
        <w:t>FR: TPF BG.2014.25 du 1 octobre 2014</w:t>
      </w:r>
    </w:p>
    <w:p>
      <w:r>
        <w:t>IT: TPF BG.2014.25 del 1 ottobre 2014</w:t>
      </w:r>
    </w:p>
    <w:p>
      <w:pPr>
        <w:pStyle w:val="Heading2"/>
      </w:pPr>
      <w:r>
        <w:t>Regeste</w:t>
      </w:r>
    </w:p>
    <w:p>
      <w:r>
        <w:t>Anfechtung des Gerichtsstands (Art. 41 Abs. 2 StPO).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August 2010 über die Kosten, Gebühren und Entschädigungen in Bundesstrafverfahren, BStKR; SR 173.713.162).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