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BG.2014.24 vom 11. September 2014</w:t>
      </w:r>
    </w:p>
    <w:p>
      <w:r>
        <w:t>Bundesstrafgericht, 2014-09-11, DE</w:t>
      </w:r>
    </w:p>
    <w:p>
      <w:r>
        <w:rPr>
          <w:b/>
        </w:rPr>
        <w:t xml:space="preserve">Quelle: </w:t>
      </w:r>
      <w:r>
        <w:t>https://mcp.opencaselaw.ch/entscheid/bstger_BG.2014.24</w:t>
      </w:r>
    </w:p>
    <w:p>
      <w:r>
        <w:t>FR: TPF BG.2014.24 du 11 septembre 2014</w:t>
      </w:r>
    </w:p>
    <w:p>
      <w:r>
        <w:t>IT: TPF BG.2014.24 del 11 settembre 2014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 lass.</w:t>
      </w:r>
    </w:p>
    <w:p>
      <w:r>
        <w:rPr>
          <w:b/>
        </w:rPr>
        <w:t>E. 2</w:t>
      </w:r>
    </w:p>
    <w:p>
      <w:r>
        <w:t>September 2011; SCHWERI/BÄNZIGER, Interkantonale Gerichtsstandsbe- stimmung in Strafsachen, 2. Aufl., Bern 2004, N. 11 f.; MOSER, Basler Kommentar 2011, Art. 33 StPO N. 1 und Art. Art. 33 StPO N. 2, FIN- GERHUTH/LIEBER, Art. 33 N. 4, in Donatsch/Hansjakob/Lieber [Hrsg.], Kommentar zur StPO, Zürich 2010). Eine Vereinigung ermöglicht die einheitliche Beweisführung und Verteidi- gung sowie eine einheitliche Beurteilung durch ein Gericht. Sie verringert die Gefahr widersprechender Entscheidungen. Eine Einheit kann nach den Vergehen (ratione delicti) oder nach den Personen (ratione personae) her-</w:t>
      </w:r>
    </w:p>
    <w:p>
      <w:r>
        <w:t>- 4 -</w:t>
      </w:r>
    </w:p>
    <w:p>
      <w:r>
        <w:t>gestellt werden, mit Abweichungen vom ordentlichen Gerichtsstand für an- dere Delikte oder Täter (Beschlüsse des Bundesstrafgerichts BG.2013.20 vom 9. Oktober 2013, E. 2.3; BG.2009.31 vom 19. Mai 2010, E. 3.3; SCHWERI/BÄNZIGER, a.a.O., N. 493).</w:t>
      </w:r>
    </w:p>
    <w:p>
      <w:r>
        <w:rPr>
          <w:b/>
        </w:rPr>
        <w:t>E. 2.1</w:t>
      </w:r>
    </w:p>
    <w:p>
      <w:r>
        <w:t>Nach dem Grundsatz der Verfahrenseinheit (Art. 29 Abs. 1 StPO) werden Straftaten gemeinsam verfolgt und beurteilt, wenn (lit. a) eine beschuldigte Person mehrere Straftaten verübt hat oder wenn (lit. b) Mittäterschaft oder Teilnahme vorliegt. Die besonderen Gerichtsstände der Artikel 33–38 StPO gehen dieser Regel vor (Art. 29 Abs. 2 StPO). Die Staatsanwaltschaft und die Gerichte können ausnahmsweise aus sachlichen Gründen Strafverfah- ren trennen oder vereinen (Art. 30 StPO; BARTETZKO, Basler Kommen- tar 2011, Art. 30 StPO N. 6; FINGERHUTH/LIEBER, Art. 29 N. 1–7 und Art. 30 N. 4, in Donatsch/Hansjakob/Lieber [Hrsg.], Kommentar zur StPO, Zü- rich 2010). Nach einem allgemeinen Grundsatz des Gerichtsstandsrechts soll vereinigt werden, was zusammen gehört. Dieser Grundsatz leitete beispielsweise die Gerichtsstände der Art. 31 (Tatort), 33 (mehrere Beteiligte) und 34 StPO (verschiedene Orte). Sind Art. 33 und 34 StPO beide erfüllt, fasst die Rechtsprechung die Strafverfolgung in der Regel ebenfalls zu- sammen. Der Grundsatz ist im Gerichtsstandsrecht auch tragend für die ju- ristische Handlungseinheit bei Gewerbsmässigkeit oder Bandenmässigkeit (vgl. Beschlüsse des Bundesstrafgerichts BG.2014.17 vom 10. Juli 2014, E. 2; BG.2013.20 vom 9. Oktober 2013, E. 2.1; BG.2011.13 vom</w:t>
      </w:r>
    </w:p>
    <w:p>
      <w:r>
        <w:rPr>
          <w:b/>
        </w:rPr>
        <w:t>E. 2.2</w:t>
      </w:r>
    </w:p>
    <w:p>
      <w:r>
        <w:t>Die Strafanzeigen vom 12. Juni 2014 (act. 1.1, 3.1; S. 12–15) betreffen den Inhalt des Patientendossiers, das Dr. med. B. an A. herausgab. Gewisse Dokumente seien unter Verletzung von Strafnormen ins Dossier gelangt. Zu untersuchen ist der gleichzeitig herausgegebene Inhalt desselben Dos- siers desselben Arztes. Diesem Gerichtsstandsverfahren liegt offensichtlich ein einheitlicher Lebenssachverhalt zugrunde. Daran ändert auch nichts, dass die Strafanzeige gegen die Krankenversi- cherung D. AG einen separaten Straftatbestand geltend macht und dass die Krankenkasse nicht ersichtlich an Straftatbeständen anderer Beteiligter mitgewirkt hätte. Es handelt sich bei der vorliegenden Konstellation so ein- deutig um einen einheitlichen Lebenssachverhalt, dass sie von der Recht- sprechung zu Art. 33 und 34 StPO erfasst wird (zur Rechtsprechung: Be- schluss des Bundesstrafgerichts BG.2014.17 vom 10. Juli 2014, E. 2). Das Verfahren gegen die Krankenversicherung D. AG ist auch nicht von eigen- ständigem Gewicht oder Umfang. Folglich ist die Strafverfolgung an dem Orte zusammenzuführen, wo die mit der schwersten Strafe bedrohte Tat verübt worden ist. Die Verletzung von Art. 35 DSG wird mit Busse bedroht. Verletzungen von Amts- und Berufsgeheimnissen (Art. 320/321 StGB) und unbefugte Daten- beschaffungen (Art. 179novies StGB) sind die beiden schwersten Delikte (bis drei Jahre Freiheitsstrafe). Die Tatorte beider Delikte liegen im Kanton Bern (vgl. BARTETZKO, Basler Kommentar 2011, Art. 31 StPO N. 9 f.). Damit ist auch der Kanton Bern für die Strafverfolgung zuständig.</w:t>
      </w:r>
    </w:p>
    <w:p>
      <w:r>
        <w:rPr>
          <w:b/>
        </w:rPr>
        <w:t>E. 2.3</w:t>
      </w:r>
    </w:p>
    <w:p>
      <w:r>
        <w:t>Folglich ist der Kanton Bern berechtigt und verpflichtet, diejenigen allfälli- gen strafbaren Handlungen zu verfolgen und zu beurteilen, die A. den Kan- tonen Bern und Wallis am 12. Juni 2014 anzeigte.</w:t>
      </w:r>
    </w:p>
    <w:p>
      <w:r>
        <w:rPr>
          <w:b/>
        </w:rPr>
        <w:t>E. 3</w:t>
      </w:r>
    </w:p>
    <w:p>
      <w:r>
        <w:t>Es sind keine Gerichtskosten zu erheben (Art. 423 Abs. 1 StPO).</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