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BG.2014.18 vom 21. August 2014</w:t>
      </w:r>
    </w:p>
    <w:p>
      <w:r>
        <w:t>Bundesstrafgericht, 2014-08-21, DE</w:t>
      </w:r>
    </w:p>
    <w:p>
      <w:r>
        <w:rPr>
          <w:b/>
        </w:rPr>
        <w:t xml:space="preserve">Quelle: </w:t>
      </w:r>
      <w:r>
        <w:t>https://mcp.opencaselaw.ch/entscheid/bstger_BG.2014.18</w:t>
      </w:r>
    </w:p>
    <w:p>
      <w:r>
        <w:t>FR: TPF BG.2014.18 du 21 août 2014</w:t>
      </w:r>
    </w:p>
    <w:p>
      <w:r>
        <w:t>IT: TPF BG.2014.18 del 21 agosto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2. Aufl., Zürich/St. Gal- len 2013, N. 488; GALLIANI/MARCELLINI, Codice svizzero di procedura pena- le [CPP] – Commentario, Zurigo/San Gallo 2010, n. 5 ad art. 40 CPP).</w:t>
      </w:r>
    </w:p>
    <w:p>
      <w:r>
        <w:rPr>
          <w:b/>
        </w:rPr>
        <w:t>E. 1.2</w:t>
      </w:r>
    </w:p>
    <w:p>
      <w:r>
        <w:t>Die Staatsanwaltschaft Basel-Landschaft ist berechtigt (praxisgemäss die jeweils örtlich zuständige Hauptabteilung der Staatsanwaltschaft; act. 1 S. 3), den Gesuchsteller bei interkantonalen Gerichtsstandskonflikten vor</w:t>
      </w:r>
    </w:p>
    <w:p>
      <w:r>
        <w:t>- 4 -</w:t>
      </w:r>
    </w:p>
    <w:p>
      <w:r>
        <w:t>der Beschwerdekammer zu vertreten (Art. 40 Abs. 2 StPO i.V.m. § 7 Abs. 2 lit. b des Einführungsgesetzes zur Schweizerischen Strafprozessordnung des Kantons Basel-Landschaft vom 12. März 2009 [EG StPO/BL, SGS 250] bzw. Ziff. 4 Abs. 3 der Weisung betreffend Kompetenzen innerhalb der Staatsanwaltschaft Basel-Landschaft vom 24. September 2010, act. 1.1). Bezüglich des Gesuchsgegners 1 steht diese Befugnis im Kanton Zug ge- mäss § 46 Abs. 4 und § 47 des Gesetzes über die Organisation der Zivil- und Strafrechtspflege des Kantons Zug vom 26. August 2010 (GOG/ZG; BGS 161.1), § 3 lit. n und § 4 Abs. 1 und 2 der Verordnung über die Staatsanwaltschaft vom 20. November 2007 (VO STA/ZG; BGS 161.3) der Leitenden Oberstaatsanwältin oder dem Leitenden Oberstaatsanwalt zu. Bezüglich des Gesuchsgegners 2 steht diese Befugnis der Oberstaatsan- waltschaft des Kantons Luzern zu (vgl. § 4 der Verordnung über die Staatsanwaltschaft des Kantons Luzern vom 14. Dezember 2010 [SRL Nr. 275]). Die übrigen Eintretensvoraussetzungen geben vorliegend zu kei- nen weiteren Bemerkungen Anlass, weshalb auf das Gesuch einzutreten ist.</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u. a. die Beschlüsse des Bundesstrafgerichts BG.2011.49 vom 19. Januar 2012, E. 2.1; BG.2011.33 vom 28. September 2011, E. 2.2.1; BG.2011.4 vom 10. August 2011, E. 2.2.2).</w:t>
      </w:r>
    </w:p>
    <w:p>
      <w:r>
        <w:rPr>
          <w:b/>
        </w:rPr>
        <w:t>E. 2.2</w:t>
      </w:r>
    </w:p>
    <w:p>
      <w:r>
        <w:t>Vorliegend sind sich die Parteien grundsätzlich einig, dass als das den Ge- richtsstand bestimmende Delikt der bandenmässig (und gewerbsmässig) begangene Diebstahl zu gelten hat. Währenddem der Gesuchsteller und der Gesuchsgegner 2 aber die Auffassung vertreten, dass dies alle 85 ver-</w:t>
      </w:r>
    </w:p>
    <w:p>
      <w:r>
        <w:t>- 5 -</w:t>
      </w:r>
    </w:p>
    <w:p>
      <w:r>
        <w:t>fahrensgegenständlichen Straftaten im Zeitraum vom 9. Dezember 2011 bis zum 29. November 2013 betreffe (act. 1 und 5), stellt sich der Gesuchsgegner 1 auf den Standpunkt, dass der qualifizierte Tatbestand auf die ersten 5 Delikte nicht zutreffe (act. 4; s. nachfolgend Ziff. 2.5).</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(vgl. BGE 135 IV 158 E. 2 S. 158). Mit die- ser Formel soll u. a. zum Ausdruck gebracht werden, dass die verschiede- nen Bandenmitglieder sich darüber einig sein müssen, dass sie in Zukunft gemeinsam weitere Delikte begehen wollen (NIGGLI/RIEDO, Basler Kom- mentar, 2. Aufl., Basel 2007, Art. 139 StGB N. 118). Als bandenmässig können dementsprechend nur Delikte gelten, welche tatsächlich von meh- reren Tätern verübt wurden (vgl. hierzu den Entscheid des Bundesstrafge- richts BG.2010.14 vom 20. September 2010, E. 2.2).</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den erzielten Einkünften ergibt, dass er die deliktische Tätigkeit nach der Art eines Be- rufs ausübt. Diese abstrakte Umschreibung kann nur Richtlinienfunktion haben. Eine quasi „nebenberufliche“ deliktische Tätigkeit kann genügen. Wesentlich ist, dass sich der Täter, wie aus den gesamten Umständen ge- schlossen werden muss, darauf eingerichtet hat, durch deliktische Hand- lungen Einkünfte zu erzielen, die einen namhaften Beitrag an die Kosten seiner Lebensgestaltung darstellen; dann ist die erforderliche soziale Ge- fährlichkeit gegeben. Es ist nach wie vor notwendig, dass der Täter die Tat bereits mehrfach begangen hat, dass er in der Absicht handelte, ein Er- werbseinkommen zu erlangen, und dass aufgrund seiner Taten geschlos- sen werden muss, er sei zu einer Vielzahl von unter die fraglichen Tatbe- stände fallenden Taten bereit gewesen (BGE 123 IV 113 E. 2c S. 116 mit Hinweis auf BGE 119 IV 129 E. 3a S. 132 f. und BGE 116 IV 319).</w:t>
      </w:r>
    </w:p>
    <w:p>
      <w:r>
        <w:rPr>
          <w:b/>
        </w:rPr>
        <w:t>E. 2.3</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w:t>
      </w:r>
    </w:p>
    <w:p>
      <w:r>
        <w:t>- 6 -</w:t>
      </w:r>
    </w:p>
    <w:p>
      <w:r>
        <w:t>richtsstand bestimmt sich also nicht nach dem, was der Täter begangen hat, sondern nach dem, was ihm vorgeworfen wird, das heisst, was auf- grund der Aktenlage überhaupt in Frage kommt. Dabei stützt sich die Be- schwerdekammer auf Fakten, nicht auf Hypothesen (MOSER, Basler Kom- mentar, Basel 2011, Art. 34 StPO N. 11; GUIDON/BÄNZIGER, a.a.O., [Rz 25] m.w.H.; vgl. nebst anderen den Entscheid des Bundesstrafgerichts BG.2010.12 vom 8. September 2010, E. 2.2 m.w.H.). Es gilt der Grundsatz „in dubio pro duriore“, wonach im Zweifelsfall auf den für den Beschuldigten ungünstigeren Sachverhalt abzustellen bzw. das schwerere Delikt anzu- nehmen ist (GUIDON/BÄNZIGER, a.a.O., [Rz 42] m.w.H.).</w:t>
      </w:r>
    </w:p>
    <w:p>
      <w:r>
        <w:rPr>
          <w:b/>
        </w:rPr>
        <w:t>E. 2.4</w:t>
      </w:r>
    </w:p>
    <w:p>
      <w:r>
        <w:t>Unter den Parteien ist unbestritten, dass von den 85 bisher registrierten Vermögensdelikten der erste Diebstahl mit nachfolgendem betrügerischen Missbrauch einer Datenverarbeitungsanlage am 9. Dezember 2011 in U. im Kanton Zug durch zwei (X.B. und A.) der sechs beschuldigten Täter be- gangen wurde. Unbestritten ist auch, dass die betreffende Geschädigte be- züglich des Diebstahls noch am gleichen Tag und bezüglich des betrügeri- schen Missbrauchs einer Datenverarbeitungsanlage am 12. Dezember 2011 bei der Polizeidienststelle U. Strafanzeige erstattete. Damit erfolgten die ersten Verfolgungshandlungen im Kanton Zug.</w:t>
      </w:r>
    </w:p>
    <w:p>
      <w:r>
        <w:rPr>
          <w:b/>
        </w:rPr>
        <w:t>E. 2.5</w:t>
      </w:r>
    </w:p>
    <w:p>
      <w:r>
        <w:t>Wie einleitend ausgeführt (s. supra Ziff. 2.2), bestreitet der Gesuchsgeg- ner 1 allerdings die Qualifikation der ersten Straftat (sowie der weiteren Straftaten Nr. 2 bis 4) als bandenmässigen Diebstahl gemäss Art. 139 Ziff. 3 StGB sowie deren Gewerbsmässigkeit.</w:t>
      </w:r>
    </w:p>
    <w:p>
      <w:r>
        <w:t>Nach seinem Dafürhalten liesse die Aktenlage noch nicht den Schluss zu, dass sich die Beschuldigten von Beginn weg im Sinne einer Bande zu- sammengeschlossen hätten (act. 4 S. 3). Bezüglich der ersten fünf Delikte (zweimal habe dabei A. mit X.B., dreimal habe X.B. alleine oder mit einer unbekannten Person gehandelt) liege noch kein Kollektivdelikt im Sinne der Bandenmässigkeit vor (act. 4 S. 4). Zu wenige Anhaltspunkte würden für einen Organisationsgrad und eine Deliktshäufigkeit sprechen, um von Ban- denmässigkeit sprechen zu können. Anders präsentiere sich die Situation für die Zeit danach (ab März 2012), wo z.B. im Zeitraum März bis August 2012 die Beschuldigten A., X.B. und E. zusammen 17 Diebstähle began- gen haben sollen. Und auch mit der Aussage von A., er sei zu Beginn von den beiden anderen zum Mittun aufgefordert worden, lasse sich keine Bandenmässigkeit (bereits für Dezember 2011) begründen; vielmehr passe diese Aussage zu den Feststellungen, dass A. dann eben ab März 2012 mit gerade diesen beiden Personen die Taten begangen haben solle. Schliesslich würden auch die übrigen ermittelten Umstände dafür sprechen,</w:t>
      </w:r>
    </w:p>
    <w:p>
      <w:r>
        <w:t>- 7 -</w:t>
      </w:r>
    </w:p>
    <w:p>
      <w:r>
        <w:t>dass zu Beginn der Delikte (Dezember 2011) noch keine Bande, erst recht nicht eine „Sechserbande“ bestanden habe. Gemäss bisherigen Erkennt- nissen seien die einzelnen Täter nicht als ganze Bande in die Schweiz ge- kommen, sondern seien zu ganz verschiedenen Zeiten einzeln, zu zweit oder vielleicht einmal zu dritt, eingereist und dies offenbar spontan. Dass sie einander aus dem Dorf kennen würden, spreche ebenfalls noch nicht für eine Bande, sondern erkläre nur, dass die einzelnen Täter von der Art und Möglichkeit des deliktischen Vorgehens erfahren hätten. Nichts weise denn auch darauf hin, dass die einzelnen Täter den Deliktserlös mit allen sechs Beschuldigten hätten teilen müssen. Entgegen der Argumentation des Gesuchstellers ergebe sich aus dem Vorgehen der sechs Beschuldig- ten noch kein Kollektivdelikt von Beginn weg. Dies gelte erst recht, wenn man in Betracht ziehe, dass der modus operandi der Täter nicht vom übli- chen Vorgehen der Taschendiebe abweiche (act. 4 S. 4).</w:t>
      </w:r>
    </w:p>
    <w:p>
      <w:r>
        <w:t>Mit Bezug auf die Gewerbsmässigkeit der vorgeworfenen Taten hält der Gesuchsgegner 1 daran fest, dass ein hinreichender Verdacht auf Ge- werbsmässigkeit erst für eine Zeitspanne ab März 2012 gegeben sei (act. 4 S. 4). Eine erste Serie von "bloss" 5 Diebstählen habe in der Zeit vom 9. bis 22. Dezember 2011 stattgefunden und nach dem 22. Dezember 2011 hät- ten keine weiteren Delikte mehr bis zum 5. März 2012 stattgefunden, womit die deliktsfreie Zeitspanne rund zweieinhalb Monate betrage. Es liege auf der Hand, dass sich die Täter zufolge der erfolgreichen ersten Taten von Dezember 2011 im Frühjahr 2012 entschieden hätten, fortan solche Delikte nun regelmässig in der Schweiz zu begehen. Der Vorfall vom 1. Februar 2012 in V. (Kanton Schwyz), Fall Nr. 6, könne klarerweise nicht X.B. ange- lastet werden. Schon der modus operandi sei im Fall Nr. 6 ein ganz ande- rer, und auch die verdächtige Person auf dem Bild treffe nicht auf X.B. zu, zumal auch die Geschädigte davon gesprochen habe, es habe sich beim Täter um einen Libanesen oder ähnlich gehandelt. Auch habe A. nicht etwa X.B. als Täter vom 1. Februar 2012 bezeichnet (act. 4 S. 4). Für den De- liktszeitraum von März 2012 bis November 2013 liessen sich bezeichnen- derweise dann keine mehrmonatigen Unterbrüche mehr finden, womit der Verdacht bestehe, dass für diesen Zeitraum von qualifizierten Delikten ausgegangen werden könne (act. 4 S. 4).</w:t>
      </w:r>
    </w:p>
    <w:p>
      <w:r>
        <w:rPr>
          <w:b/>
        </w:rPr>
        <w:t>E. 2.6</w:t>
      </w:r>
    </w:p>
    <w:p>
      <w:r>
        <w:t>Aufgrund der bisherigen Ermittlungen steht fest, dass alle sechs Beschul- digten aus derselben Ortschaft in Rumänien stammen. A., welcher vor sei- ner Heirat den Familiennamen "B". trug, und Y.B. sind zudem Brüder. Bei X.B., welcher nach der Heirat den Namen seiner Frau angenommen hat, handelt es sich sodann um den Schwager von A. Laut Aussage von A. handle es sich bei E. um einen Freund von X.B. (Verfahrensakten, Ordner</w:t>
      </w:r>
    </w:p>
    <w:p>
      <w:r>
        <w:t>- 8 -</w:t>
      </w:r>
    </w:p>
    <w:p>
      <w:r>
        <w:t>2/10, Einvernahme vom 14. Januar 2014, S. 8). A. selber sagte anlässlich seiner Einvernahme vom 14. Januar 2014 aus, dass er auf Vorschlag sei- nes Schwagers X.B. und E. im Jahre 2011 begonnen habe, mit diesen zu- sammen in der Schweiz Portemonnaies zu stehlen (Verfahrensakten, Ord- ner 2/10, Einvernahme vom 14. Januar 2014, S. 8). Er habe zu diesem Zeitpunkt nur noch EUR 700.-- gehabt, was nicht gereicht habe, um die Miete zu bezahlen (a.a.O.). Mit Ausnahme von Y.B. waren alle Beschuldig- ten in mindestens einem europäischen Land wegen (zum Teil auch ban- den- und gewerbsmässigen) Eigentumsdelikten bereits zuvor kriminalpoli- zeilich verzeichnet (A. [alias "B."] in Deutschland, Österreich und Frank- reich; X.B. in Deutschland und Österreich; C. in Deutschland, Österreich und Frankreich; D. in Deutschland und Frankreich; E. in Österreich; s. Ver- fahrensakten, Ordner 1/10; Ordner 3/10, Register 5.2, Polizeilicher Ermitt- lungsbericht, S. 20 ff.). Bereits vor diesem Hintergrund bestehen ausrei- chende Anhaltspunkte, welche einen hinreichenden Tatverdacht auf Ban- den- und Gewerbsmässigkeit für den ganzen Deliktszeitraum zu rechtferti- gen vermögen. Bei dieser Aktenlage erscheint der vom Gesuchsgegner 1 angeführte zeitliche Abstand von untergeordneter Bedeutung und vermag jedenfalls nicht den Tatverdacht auf Banden- und Gewerbsmässigkeit aus- zuschliessen. Die einzelnen Einwendungen des Gesuchsgegners 1 sowie dessen Schlussfolgerung, wonach sich die Täter A., X.B. und E. (erst) im Frühjahr 2012 entschieden haben sollen, fortan solche Delikte zu begehen, überzeugen nicht. Die Argumentationslinie des Gesuchsgegners 1 läuft be- reits im Ansatz dem Grundsatz "in dubio pro duriore" zuwider. Dies gilt auch für seine Bestreitung des Tatverdachts bezüglich der Täterschaft im Fall Nr. 6.</w:t>
      </w:r>
    </w:p>
    <w:p>
      <w:r>
        <w:rPr>
          <w:b/>
        </w:rPr>
        <w:t>E. 3.1</w:t>
      </w:r>
    </w:p>
    <w:p>
      <w:r>
        <w:t>Weiter nennt der Gesuchsgegner 1 verschiedene Argumente, weshalb vor- liegend vom gesetzlichen Gerichtsstand abgewichen werden soll (act. 4 S. 5). Unter Berufung auf die Schwerpunkttheorie bringt er vor, dass im Kanton Basel-Landschaft immerhin 30 Vorfälle zur Diskussion stünden, im Kanton Zug seien es lediglich vier. Der Idee der Schwerpunkttheorie liege der Gedanke zugrunde, dass derjenige Kanton die Untersuchung führen soll, welcher die notwendigen Untersuchungshandlungen gestützt auf die äusserlichen Bedingungen mit dem geringsten Aufwand vornehmen und damit die Strafverfolgung am schnellsten vorwärts bringen könne (act. 4 S. 5). Wenn – so der Gesuchsgegner 1 weiter – die Zuger Strafverfolgungs- behörden das Verfahren übernehmen müssten, würde die Untersuchung unnütz erschwert bzw. behindert, weshalb unter den gegebenen Umstän- den auch die "2/3 Regel" im konkreten Fall nicht mehr Bestand habe. Es</w:t>
      </w:r>
    </w:p>
    <w:p>
      <w:r>
        <w:t>- 9 -</w:t>
      </w:r>
    </w:p>
    <w:p>
      <w:r>
        <w:t>könne nicht sein, dass der Kanton Zug mit vier Vorfällen nun 85 Fälle un- tersuchen soll (act. 4 S. 5).</w:t>
      </w:r>
    </w:p>
    <w:p>
      <w:r>
        <w:rPr>
          <w:b/>
        </w:rPr>
        <w:t>E. 3.2</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und die Überlegungen, welche den gesetzlichen Gerichts- 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 ber als zuständig erklären, wenn dort tatsächlich ein örtlicher Anknüp- fungspunkt besteht (vgl. MOSER, Basler Kommentar, Basel 2011, Art. 38 StPO N. 2 m.w.H.; siehe auch BERTOSSA, Commentaire romand, Bâle 2011, n° 2 ad art. 38 CPP; GOLDSCHMID/MAURER/SOLLBERGER, Kom- mentierte Textausgabe zur Schweizerischen Strafprozessordnung [StPO], Bern 2008, S. 32 f.; GALLIANI/MARCELLINI, op. cit., n. 1 e 2 ad art. 38 CPP).</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 ton entfallen (BGE 129 IV 202 E. 2 S. 203; siehe zuletzt auch den Be- schluss des Bundesstrafgerichts BG.2011.25 vom 28. September 2011, E. 3.2). Das Übergewicht muss dabei so offensichtlich und bedeutsam sein, dass sich das Abweichen vom gesetzlichen Gerichtsstand geradezu auf- drängt (MOSER, a.a.O., Art. 38 StPO N. 7 f.; GUIDON/BÄNZIGER, Die aktuelle Rechtsprechung des Bundesstrafgerichts zum interkantonalen Gerichts- stand in Strafsachen, Jusletter 21. Mai 2007, [Rz 46] m.w.H.). Fehlt es be- reits an einer grösseren Zahl der in Frage stehenden Fälle, so drängt sich ein Abweichen vom gesetzlichen Gerichtsstand – sofern nicht weitere trifti- ge prozessökonomische Gesichtspunkte ernsthaft in Betracht gezogen werden müssen – nicht auf (siehe hierzu den Beschluss des Bundesstraf- gerichts BG.2011.25 vom 28. September 2011, E. 3.2; vgl. auch die Ent- scheide des Bundesstrafgerichts BG.2009.30 vom 26. Oktober 2009,</w:t>
      </w:r>
    </w:p>
    <w:p>
      <w:r>
        <w:t>- 10 -</w:t>
      </w:r>
    </w:p>
    <w:p>
      <w:r>
        <w:t>E. 2.3; BG.2009.23 vom 13. Oktober 2009, E. 2.4; BK_G 038/04 vom 13. Juli 2004, E. 5).</w:t>
      </w:r>
    </w:p>
    <w:p>
      <w:r>
        <w:rPr>
          <w:b/>
        </w:rPr>
        <w:t>E. 3.3</w:t>
      </w:r>
    </w:p>
    <w:p>
      <w:r>
        <w:t>Im Lichte der vorstehend erläuterten Praxis drängt sich bei insgesamt 30 von 85 im Kanton Basel-Landschaft verübten Delikten unter dem Gesichts- punkt eines allfälligen Schwergewichts ein Abweichen vom gesetzlichen Gerichtsstand nicht auf. Die vom Gesuchsgegner 1 genannten Argumente stellen nach der angeführten konstanten Rechtsprechung keine triftigen Gründe dar, die ein Abweichen vom gesetzlichen Gerichtsstand gebiete- risch aufdrängen würden.</w:t>
      </w:r>
    </w:p>
    <w:p>
      <w:r>
        <w:rPr>
          <w:b/>
        </w:rPr>
        <w:t>E. 4</w:t>
      </w:r>
    </w:p>
    <w:p>
      <w:r>
        <w:t>Nach dem Gesagten erweist sich das Gesuch als begründet und es sind die Strafverfolgungsbehörden des Kantons Zug für berechtigt und verpflich- tet zu erklären, die A., X.B., Y.B., C., D. und E. zur Last gelegten Delikte zu verfolgen und zu beurteilen.</w:t>
      </w:r>
    </w:p>
    <w:p>
      <w:r>
        <w:rPr>
          <w:b/>
        </w:rPr>
        <w:t>E. 5</w:t>
      </w:r>
    </w:p>
    <w:p>
      <w:r>
        <w:t>Es sind keine Gerichtskosten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