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BG.2014.17 vom 10. Juli 2014</w:t>
      </w:r>
    </w:p>
    <w:p>
      <w:r>
        <w:t>Bundesstrafgericht, 2014-07-10, DE</w:t>
      </w:r>
    </w:p>
    <w:p>
      <w:r>
        <w:rPr>
          <w:b/>
        </w:rPr>
        <w:t xml:space="preserve">Quelle: </w:t>
      </w:r>
      <w:r>
        <w:t>https://mcp.opencaselaw.ch/entscheid/bstger_BG.2014.17</w:t>
      </w:r>
    </w:p>
    <w:p>
      <w:r>
        <w:t>FR: TPF BG.2014.17 du 10 juillet 2014</w:t>
      </w:r>
    </w:p>
    <w:p>
      <w:r>
        <w:t>IT: TPF BG.2014.17 del 10 luglio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w:t>
      </w:r>
    </w:p>
    <w:p>
      <w:r>
        <w:t>- 4 -</w:t>
      </w:r>
    </w:p>
    <w:p>
      <w:r>
        <w:t>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N9 zu Art. 39 StPO sowie N 10 zu Art. 40 StPO; SCHMID, Handbuch des schweizerischen Strafprozessrechts, Zürich/St. Gallen 2009, N 488; GALLIANI/MARCELLINI, Codice svizzero di procedura penale [CPP] – Commentario, Zürich/St. Gallen 2010, n. 5 ad art. 40 CPP).</w:t>
      </w:r>
    </w:p>
    <w:p>
      <w:r>
        <w:rPr>
          <w:b/>
        </w:rPr>
        <w:t>E. 1.2</w:t>
      </w:r>
    </w:p>
    <w:p>
      <w:r>
        <w:t>Die Staatsanwaltschaft Zug ist berechtigt, den Gesuchsteller bei interkan- tonalen Gerichtsstandskonflikten vor der Beschwerdekammer zu vertreten (§ 46 Abs. 4 des Gesetzes über die Organisation der Zivil- und Strafrechts- pflege des Kantons Zug vom 26. August 2010 [Gerichtsorganisationsge- setz, GOG/ZG; BGS 161.1]). Bezüglich der Gesuchsgegner steht diese Be- fugnis im Kanton Zürich der Oberstaatsanwaltschaft des Kantons Zürich, im Kanton Graubünden der Staatsanwaltschaft Graubünden, im Kanton Basel- Landschaft der Staatsanwaltschaft Basel-Landschaft und im Kanton Aar- gau der Oberstaatsanwaltschaft des Kantons Aargau zu (§ 107 Abs. 1 lit. b des Gesetzes über die Gerichts- und Behördenorganisation im Zivil- und Strafprozess des Kantons Zürich vom 10. Mai 2010 [GOG/ZH; LS 211.1]; Art. 12 Abs. 1 lit. f des Einführungsgesetzes zur Schweizerischen Strafpro- zessordnung des Kantons Graubünden vom 16. Juni 2010 [EGzStPO/GR; BR 350.100]; Art. 40 Abs. 2 StPO i.V.m. § 2 der Dienstordnung der Staats- anwaltschaft des Kantons Basel-Landschaft vom 8. November 2011 [SGS 145.17] und § 8 EG StPO vom 12. März 2009 [SGS 250]; § 20 des Einführungsgesetzes zur Schweizerischen Strafprozessordnung des Kan- tons Aargau vom 16. März 2010 [EG StPO/AG; SAR 251.200]). Die übrigen Eintretensvoraussetzungen geben vorliegend zu keinen weiteren Bemer- kungen Anlass, weshalb auf das Gesuch einzutreten ist.</w:t>
      </w:r>
    </w:p>
    <w:p>
      <w:r>
        <w:rPr>
          <w:b/>
        </w:rPr>
        <w:t>E. 2.1</w:t>
      </w:r>
    </w:p>
    <w:p>
      <w:r>
        <w:t>Ist eine Straftat von mehreren Mittäterinnen oder Mittätern verübt worden, so sind die Behörden des Ortes zuständig, an dem zuerst Verfolgungs-</w:t>
      </w:r>
    </w:p>
    <w:p>
      <w:r>
        <w:t>- 5 -</w:t>
      </w:r>
    </w:p>
    <w:p>
      <w:r>
        <w:t>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u. a. die Beschlüsse des Bundesstrafgerichts BG.2011.49 vom 19. Januar 2012, E. 2.1; BG.2011.33 vom 28. September 2011, E. 2.2.1; BG.2011.4 vom 10. August 2011, E. 2.2.2).</w:t>
      </w:r>
    </w:p>
    <w:p>
      <w:r>
        <w:t>Ein Verdächtigter gilt als verfolgt, wenn eine Straf-, Untersuchungs- oder auch eine Polizeibehörde durch die Einleitung von Massnahmen zu erken- nen gegeben hat, dass sie jemanden einer strafbaren Handlung verdäch- tigt, oder wenn eine verdächtige Handlung angezeigt oder diesbezüglich ein Strafantrag gestellt wurde. Massnahmen gegen eine unbekannte Täter- schaft genügen (vgl. hierzu MOSER, in: Basler Kommentar, Basel 2011, N 6 zu Art. 34 StPO m.w.H.; FINGERHUTH/LIEBER, in: Kommentar zur Schweize- rischen Strafprozessordnung [StPO], Zürich/Basel/Genf 2010, N 28 zu Art. 31).</w:t>
      </w:r>
    </w:p>
    <w:p>
      <w:r>
        <w:rPr>
          <w:b/>
        </w:rPr>
        <w:t>E. 2.2</w:t>
      </w:r>
    </w:p>
    <w:p>
      <w:r>
        <w:t>Für die vorliegende Bestimmung des Gerichtsstandes massgeblich ist der Vorwurf des bandenmässig verübten Diebstahls im Sinne des Art. 139 Ziff. 3 Abs. 2 StGB. Zwischen den Parteien umstritten ist diesbezüglich die Frage, ab welchem Zeitpunkt hinsichtlich der verübten Einbruchdiebstähle den Beteiligten die bandenmässige Tatbegehung vorgeworfen werden kann, mithin wo hinsichtlich der mit der schwersten Strafe bedrohten Tat die Untersuchung zuerst angehoben worden ist.</w:t>
      </w:r>
    </w:p>
    <w:p>
      <w:r>
        <w:rPr>
          <w:b/>
        </w:rPr>
        <w:t>E. 2.3</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(BGE 135 IV 158 E. 2; 124 IV 86 E. 2b m.w.H.). Aus Vorbereitung und/oder Ausführung der Tat muss sich erge- ben, dass der Täter den Diebstahl in Erfüllung einer ihm von der Bande übertragenen Aufgabe begangen hat. Nicht davon erfasst sind jedoch Ta-</w:t>
      </w:r>
    </w:p>
    <w:p>
      <w:r>
        <w:t>- 6 -</w:t>
      </w:r>
    </w:p>
    <w:p>
      <w:r>
        <w:t>ten, die im Alleingang begangen werden, also in der Eigenschaft eines Al- leintäters (NIGGLI/RIEDO, in: Basler Kommentar, 2. Aufl., Basel 2007, N 115 f., 118 f., 121 zu Art. 139 StGB).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 lungen, die gegen das gleiche Rechtsgut gerichtet sind, an verschiedenen Orten begangen werden können, jedoch in einem zeitlichen Zusammen- hang stehen und subjektiv auf einem alle Handlungen umfassenden Ent- schluss bzw. einem Gesamtvorsatz beruhen. Sofern Teil des Kollektivde- likts, so gelten alle einem Beschuldigten Last gelegten versuchten oder vollendeten Verfehlungen als mit gleicher Strafe bedroht. Kein Kollektivde- likt, sondern blosse Handlungsmehrheit liegt dann vor, wenn ein Einzelakt mit den übrigen bandenmässig begangenen Delikten keinen Zusammen- hang hat bzw. wenn hinsichtlich des Einzelaktes die für dessen Qualifika- tion als bandenmässig verübtes Delikt notwendigen gesetzlichen Voraus- setzungen nicht vorliegen (Entscheide des Bundesstrafgerichts BG.2012.7 vom 16. März 2012, E. 3.2; BG.2010.14 vom 20. September 2010, E. 2.2; BG.2008.1 vom 28. Januar 2008, E. 4.4; SCHWERI/BÄNZIGER, Interkantona- le Gerichtsstandsbestimmung in Strafsachen, 2. Aufl., Bern 2004, N 83-85, 295). Bei der Beurteilung der Gerichtsstandsfrage muss von der aktuellen Ver- dachtslage ausgegangen werden. Massgeblich ist nicht, was dem Beschul- 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 lage überhaupt in Frage kommt. Dabei stützt sich die Beschwerdekammer auf Fakten, nicht auf Hypothesen (MOSER, in: Basler Kommentar, Basel 2011, N 11 zu Art. 34 StPO; GUIDON/BÄNZIGER, a.a.O., [Rz 25] m.w.H.; vgl. nebst anderen den Entscheid des Bundesstrafgerichts BG.2010.12 vom 8. September 2010, E. 2.2 m.w.H.). Es gilt der Grundsatz „in dubio pro du- riore“, wonach im Zweifelsfall auf den für den Beschuldigten ungünstigeren Sachverhalt abzustellen bzw. das schwerere Delikt anzunehmen ist (GUI- DON/BÄNZIGER, a.a.O., [Rz 42] m.w.H.).</w:t>
      </w:r>
    </w:p>
    <w:p>
      <w:r>
        <w:t>- 7 -</w:t>
      </w:r>
    </w:p>
    <w:p>
      <w:r>
        <w:rPr>
          <w:b/>
        </w:rPr>
        <w:t>E. 2.4</w:t>
      </w:r>
    </w:p>
    <w:p>
      <w:r>
        <w:t>Eine bandenmässige Beteiligung von A. am über sechs Jahre zurücklie- genden Diebstahl vom 4./5. Oktober 2007 in Pontresina lässt sich den Ak- ten nicht entnehmen. Die beiden Beschuldigten sollen sich auch erst seit einem Jahr kennen (Urk. 2/4 S. 7). Hingegen führte A. anlässlich der poli- zeilichen Einvernahme vom 24. April 2014 aus, zusammen mit B. in der Nacht vom 12. auf den 13. März 2014 in die Schweiz eingereist und mit ihm bis zur Verhaftung am 18. März 2014 zusammen gewesen zu sein. Dabei habe er als Chauffeur von B. fungiert, da dieser keinen Führerausweis ha- be. Er räumte ein, an Einbruchsdiebstählen in der Nacht auf den 18. März 2014 in Zürich zusammen mit B. beteiligt gewesen zu sein und dabei diverse Laptops gestohlen zu haben. Ebenso gab er zu, am Abend des 18. März 2014 in Baar einen Einbruchsdiebstahl verübt und eine Geld- kassette gestohlen zu haben. Von den anderen Einbruchsdiebstählen, na- mentlich demjenigen in der Nacht vom 12. auf den 13. März 2014 in Zürich und denjenigen in Pratteln, Dättwil und Birr (13. bis 17. März 2014), wollte er nichts wissen (Verfahrensakten Zug Urk. 2/5). Im Fahrzeug, das A. lenk- te, wurde jedoch eine SIM-Karte gefunden, die aus dem Einbruchsdiebstahl vom 12./13. März 2014 zum Nachteil der Firma C. GmbH in Zürich stammt. Ebenso lag im Kofferraum des besagten Fahrzeuges eine Sporttasche mit dem Trainingsplan eines Angestellten der C. GmbH. Um 23.06 Uhr des 12. März 2014 wurden die beiden Beschuldigten ausserdem in Zürich – vier Fahrminuten vom Sitz der C. GmbH entfernt – anlässlich einer Geschwin- digkeitskontrolle fotografiert (Verfahrensakten Zug Urk. 1/4/1-7 und 3/1). Unter diesen Umständen erscheint es nicht als ausgeschlossen, dass die Beschuldigten den Einbruchsdiebstahl vom 12./13. März 2014 zum Nach- teil der C. GmbH begangen haben. Gleiches gilt im Ergebnis mit Bezug auf die Einbruchsdiebstähle vom 13. bis 17. März 2014 in den Kantonen Basel- Landschaft und Aargau: auf den Überwachungsvideos der Firmen D. AG in Pratteln, E. AG, F. GmbH und G. AG, alle in Dättwil, ist zu den jeweiligen Tatzeitpunkten B. zu erkennen (Verfahrensakten Zug Urk. 1/5/2, 1/9/4). An anderen Tatorten, wie bei der H. AG, I. GmbH und J. AG in Dättwil wurden DNA-Spuren von B. gefunden (Verfahrensakten Zug Urk. 1/8/13). Dabei ist es durchaus wahrscheinlich, dass B. alleine in die Gebäude eindrang und A. als Fahrer auftrat. Damit ist für die Deliktsserie vom 12. bis 18. März 2014 in Anwendung des Grundsatzes "in dubio pro duriore" von einer fortgesetzten und damit bandenmässigen Delinquenz der Beschuldig- ten auszugehen. Dabei wurden die ersten Verfolgungshandlungen im Kan- ton Zürich, nämlich mit der Anzeige vom 13. März 2014 um 08.13 Uhr, vor- genommen (Verfahrensakten Zug Urk. 1/4/1).</w:t>
      </w:r>
    </w:p>
    <w:p>
      <w:r>
        <w:t>- 8 -</w:t>
      </w:r>
    </w:p>
    <w:p>
      <w:r>
        <w:rPr>
          <w:b/>
        </w:rPr>
        <w:t>E. 3</w:t>
      </w:r>
    </w:p>
    <w:p>
      <w:r>
        <w:t>Nach dem Gesagten sind die Strafverfolgungsbehörden des Gesuchsgeg- ners 1 für berechtigt und verpflichtet zu erklären, die A. und B. zur Last ge- legten Delikte zu verfolgen und zu beurteilen.</w:t>
      </w:r>
    </w:p>
    <w:p>
      <w:r>
        <w:rPr>
          <w:b/>
        </w:rPr>
        <w:t>E. 4</w:t>
      </w:r>
    </w:p>
    <w:p>
      <w:r>
        <w:t>Es ist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