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BG.2014.16 vom 4. Juli 2014</w:t>
      </w:r>
    </w:p>
    <w:p>
      <w:r>
        <w:t>Bundesstrafgericht, 2014-07-04, FR</w:t>
      </w:r>
    </w:p>
    <w:p>
      <w:r>
        <w:rPr>
          <w:b/>
        </w:rPr>
        <w:t xml:space="preserve">Quelle: </w:t>
      </w:r>
      <w:r>
        <w:t>https://mcp.opencaselaw.ch/entscheid/bstger_BG.2014.16</w:t>
      </w:r>
    </w:p>
    <w:p>
      <w:r>
        <w:t>FR: TPF BG.2014.16 du 4 juillet 2014</w:t>
      </w:r>
    </w:p>
    <w:p>
      <w:r>
        <w:t>IT: TPF BG.2014.16 del 4 luglio 2014</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l’art. 37 al. 1 LOAP). S’agissant du délai dans lequel l’autorité requérante doit saisir la Cour de céans, de jurisprudence constante, il convient de se référer au délai de dix jours prévu à l’art. 396 al. 1 CPP, exception faite du cas dans lequel l’autorité requérante invoque des circonstances exceptionnelles qu’il lui in- combe de spécifier (TPF 2011 94 consid. 2.2). C’est en fonction de la légi- slation de chaque canton (v. art. 14 al. 4 CPP) que l’on détermine les auto- rités qui sont légitimées à représenter leur canton dans le cadre de l’échange de vues ou dans la procédure devant la Cour des plaintes (KUHN, Basler Kommentar, Bâle 2011, no 9 ad art. 39 CPP et no 10 ad art. 40 CPP; SCHMID, Handbuch des schweizerischen Strafprozessrechts, 2e éd., Zu- rich/Saint-Gall 2013, no 488; GALLIANI/MARCELLINI, Codice svizzero di pro- cedura penale [CPP] - Commentario, Zurich/Saint-Gall 2010, no 5 ad art. 40 CPP).</w:t>
      </w:r>
    </w:p>
    <w:p>
      <w:r>
        <w:rPr>
          <w:b/>
        </w:rPr>
        <w:t>E. 1.2</w:t>
      </w:r>
    </w:p>
    <w:p>
      <w:r>
        <w:t>La condition préalable pour la saisine de la Cour des plaintes consiste dans le fait qu’un échange de vues ait eu lieu entre les cantons concernés (BERTOSSA, Commentaire Romand, Bâle 2011, no 4 ad art. 39 CPP; SCHWERI/BÄNZIGER, Interkantonale Gerichtsstandsbestimmung in Strafsa- chen, 2e éd., Berne 2004, no 599). Ce n'est que lorsque celui-ci a échoué qu'il existe un cas de for contesté justifiant l'intervention de la Cour de céans. Cet échange de vues doit avoir eu lieu entres tous les cantons dont la compétence à raison du lieu entre sérieusement en considération dans le cas concret (FINGERHUTH/LIEBER, Kommentar zur Schweizerischen</w:t>
      </w:r>
    </w:p>
    <w:p>
      <w:r>
        <w:t>- 5 -</w:t>
      </w:r>
    </w:p>
    <w:p>
      <w:r>
        <w:t>Strafprozessordnung, Zurich/Bâle/Genève 2010, no 9 ad art. 40 CPP; GUIDON/BÄNZIGER, Die aktuelle Rechtsprechung des Bundesstrafgerichts zum interkantonalen Gerichtsstand in Strafsachen, Jusletter du 21 mai 2007, no 5; KUHN, op. cit., nos 10 s. ad art. 40 CPP; SCHWERI/BÄNZIGER, op. cit., no 569). A défaut d'un échange de vues complet et valablement clos, la requête en fixation du for doit être déclarée irrecevable (décisions du Tribunal pénal fédéral BG.2012.3 du 23 février 2012, consid. 1 et 3.3; BG.2011.7 du 17 juin 2011, consid. 1.2; BG.2009.4 du 9 mars 2009). Aussi longtemps que chaque autorité qui est désignée comme compétente par le droit cantonal pour traiter les cas de conflits de for intercantonaux ne s'est pas prononcée, on ne peut considérer que l'échange de vue est complet et valablement clos. Dans un tel cas, la Cour des plaintes ne peut être saisie (arrêt du Tribunal pénal fédéral BG.2012.33 du 28 novembre 2012, consid. 1.2 et références citées).</w:t>
      </w:r>
    </w:p>
    <w:p>
      <w:r>
        <w:t>En l'espèce, le MP-NE a ouvert un échange de vue avec le canton de Lu- cerne notamment en raison du fait que selon lui, la première infraction concernant la vente de Crystal par B. à A. a eu lieu à Z. (LU) soit dans ledit canton. Pour ce faire, le MP-NE s'est adressé le 14 octobre 2013 à la « Staatsanwaltschaft des Kantons Luzern » (dossier MP-NE act. 45). C'est cette même autorité qui lui a répondu les 8 novembre 2013 (dossier MP-NE act. 46) et 19 mai 2014 (dossier MP-NE act. 73-74). Toutefois, dans ce dernier courrier, la « Staatsanwaltschaft des Kantons Luzern » précisait que si le canton de Neuchâtel entendait saisir la Cour de céans, il importait qu'il interpelle au préalable encore l'« Oberstaatsanwaltschaft »du canton de Lucerne (dossier MP-NE act. 74). Il résulte en effet du § 4 de l'Ordon- nance d'organisation du Ministère public lucernois que l' « Oberstaatsanwaltschaft » s'occupe des cas de for (SR L275 - Verord- nung über die Staatsanwaltschaft du 14 décembre 2010). Au vu du dossier, il apparaît cependant que l'« Oberstaatsanwaltschaft » du canton de Lucer- ne n'a pas été consultée par les autorités neuchâteloises avant qu'elles en- voient leur requête à la Cour des plaintes, alors que ces dernières y avaient été dûment rendues attentives (dossier MP-NE act. 71). Par conséquent, en l'espèce, l'échange de vues n'a pas eu lieu entre toutes les autorités ha- bilitées à engager les différents cantons concernés. Celui-ci ne peut donc pas être considéré comme valablement clos. Par ailleurs, il convient de re- lever que les autorités neuchâteloises, dans l'échange de vue auquel elles ont procédé se sont référées à l'art. 31 CPP. Compte tenu cependant du fait que plusieurs infractions, commises dans différents cantons, sont re- prochées à B., c’est avant tout à la lumière de l'art. 34 al. 1 CPP qu’il impor- tera que les autorités concernées examinent la situation.</w:t>
      </w:r>
    </w:p>
    <w:p>
      <w:r>
        <w:t>- 6 -</w:t>
      </w:r>
    </w:p>
    <w:p>
      <w:r>
        <w:rPr>
          <w:b/>
        </w:rPr>
        <w:t>E. 2</w:t>
      </w:r>
    </w:p>
    <w:p>
      <w:r>
        <w:t>Il résulte de ce qui précède que la requête en fixation de for du canton de Neuchâtel doit être déclarée irrecevable. Le MP-NE est invité à entrepren- dre les mesures nécessaires pour compléter l'échange de vues et, si les cantons concernés ne peuvent toujours pas s'entendre, à soumettre une nouvelle requête en fixation de for à la Cour de céans.</w:t>
      </w:r>
    </w:p>
    <w:p>
      <w:r>
        <w:rPr>
          <w:b/>
        </w:rPr>
        <w:t>E. 3</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