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BG.2014.15 vom 15. Juli 2014</w:t>
      </w:r>
    </w:p>
    <w:p>
      <w:r>
        <w:t>Bundesstrafgericht, 2014-07-15, DE</w:t>
      </w:r>
    </w:p>
    <w:p>
      <w:r>
        <w:rPr>
          <w:b/>
        </w:rPr>
        <w:t xml:space="preserve">Quelle: </w:t>
      </w:r>
      <w:r>
        <w:t>https://mcp.opencaselaw.ch/entscheid/bstger_BG.2014.15</w:t>
      </w:r>
    </w:p>
    <w:p>
      <w:r>
        <w:t>FR: TPF BG.2014.15 du 15 juillet 2014</w:t>
      </w:r>
    </w:p>
    <w:p>
      <w:r>
        <w:t>IT: TPF BG.2014.15 del 15 luglio 2014</w:t>
      </w:r>
    </w:p>
    <w:p>
      <w:pPr>
        <w:pStyle w:val="Heading2"/>
      </w:pPr>
      <w:r>
        <w:t>Regeste</w:t>
      </w:r>
    </w:p>
    <w:p>
      <w:r>
        <w:t>Anfechtung des Gerichtsstands (Art. 41 Abs. 2 StPO).</w:t>
      </w:r>
    </w:p>
    <w:p>
      <w:pPr>
        <w:pStyle w:val="Heading2"/>
      </w:pPr>
      <w:r>
        <w:t>Erwägungen</w:t>
      </w:r>
    </w:p>
    <w:p>
      <w:r>
        <w:rPr>
          <w:b/>
        </w:rPr>
        <w:t>E. 10</w:t>
      </w:r>
    </w:p>
    <w:p>
      <w:r>
        <w:t>Tagen bei der Beschwerdekammer des Bundesstrafgerichts beschwe- ren können (Art. 41 Abs. 2 Satz 1 StPO i.V.m. Art. 37 Abs. 1 StBOG);</w:t>
      </w:r>
    </w:p>
    <w:p>
      <w:r>
        <w:t>- Art. 34 Abs. 1 StPO folgendes festhält: "Hat eine beschuldigte Person meh- 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 erst Verfolgungshandlungen vorgenommen worden sind";</w:t>
      </w:r>
    </w:p>
    <w:p>
      <w:r>
        <w:t>- Vergewaltigung das schwerste der vorliegend zur Diskussion stehende De- likte im Sinne von Art. 34 Abs. 1 StPO ist; sich mutmassliche Tatorte der angeblichen Vergewaltigungen sowohl im Kanton Basel-Stadt als auch im Kanton Basel-Landschaft befinden (Verfahrensakten, BS 140503-0077); die erste Verfolgungshandlung im Kanton Basel-Landschaft vorgenommen wurde (Anzeige im Oktober 2012); die Anerkennung durch die StA BL folg- lich im Einklang mit den gesetzlichen Bestimmungen erfolgte; die Be- schwerdeführerin in ihren Eingaben nichts Gerichtsstandsrelevantes vor- bringt, sondern die Beschwerde im Wesentlichen mit Misstrauen gegen- über der StA BL begründet; die Beschwerde folglich abzuweisen ist;</w:t>
      </w:r>
    </w:p>
    <w:p>
      <w:r>
        <w:t>- gemäss Art. 41 Abs. 2 StPO eine Anfechtungsmöglichkeit gegen Entschei- dungen der beteiligten Staatsanwaltschaften über den Gerichtsstand be- steht; diese Entscheide folglich mindestens summarisch zu begründen sind, ansonsten der Betroffene auch nicht wissen kann, ob er nach Art. 41 Abs. 1 oder Abs. 2 StPO vorgehen muss; die vorliegend angefoch- tene Übernahmeverfügung praktisch keine Begründung enthält und ledig- lich auf die Gerichtsstandsanfrage vom 8. Mai 2014 verweist (act. 5.3);</w:t>
      </w:r>
    </w:p>
    <w:p>
      <w:r>
        <w:t>- die Begründungspflicht wesentlicher Bestandteil des Anspruchs auf rechtli- chen Gehörs ist und damit desjenigen auf ein faires Verfahren (BRÜSCHWEILER, Kommentar zur Schweizerischen Strafprozessordnung, Zürich 2010, Art. 80 N. 2); die Verletzung des rechtlichen Gehörs grund- sätzlich heilbar ist (BGE 137 I 195 E. 2.3.2); dieses Gericht volle Kognition besitzt (Art. 393 Abs. 2 StPO), die StA BL in ihrer Beschwerdeantwort die Übernahmeverfügung nachträglich begründete und die Beschwerdeführerin in ihrer Replik dazu Stellung nehmen konnte; in casu die Verletzung des</w:t>
      </w:r>
    </w:p>
    <w:p>
      <w:r>
        <w:t>- 4 -</w:t>
      </w:r>
    </w:p>
    <w:p>
      <w:r>
        <w:t>rechtlichen Gehörs im vorliegenden Beschwerdeverfahren heilbar ist (vgl. auch BGE 136 V 117 E. 4.2.2.2; 133 I 201 E. 2.2; 132 V 387 E. 5.1);</w:t>
      </w:r>
    </w:p>
    <w:p>
      <w:r>
        <w:t>- wegen der erst im Rahmen dieses Verfahrens geheilten Verletzung des rechtlichen Gehörs auf die Erhebung einer Gerichtsgebühr zu verzichten ist (vgl. TPF 2008 172 E. 2.3 per analogiam sowie DOMEISEN, Basler Kom- mentar, Art. 426 StPO N. 5).</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