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BG.2014.13 vom 7. August 2014</w:t>
      </w:r>
    </w:p>
    <w:p>
      <w:r>
        <w:t>Bundesstrafgericht, 2014-08-07, FR</w:t>
      </w:r>
    </w:p>
    <w:p>
      <w:r>
        <w:rPr>
          <w:b/>
        </w:rPr>
        <w:t xml:space="preserve">Quelle: </w:t>
      </w:r>
      <w:r>
        <w:t>https://mcp.opencaselaw.ch/entscheid/bstger_BG.2014.13</w:t>
      </w:r>
    </w:p>
    <w:p>
      <w:r>
        <w:t>FR: TPF BG.2014.13 du 7 août 2014</w:t>
      </w:r>
    </w:p>
    <w:p>
      <w:r>
        <w:t>IT: TPF BG.2014.13 del 7 agosto 2014</w:t>
      </w:r>
    </w:p>
    <w:p>
      <w:pPr>
        <w:pStyle w:val="Heading2"/>
      </w:pPr>
      <w:r>
        <w:t>Regeste</w:t>
      </w:r>
    </w:p>
    <w:p>
      <w:r>
        <w:t>Conflits de for (art. 40 al. 2 CPP).</w:t>
      </w:r>
    </w:p>
    <w:p>
      <w:pPr>
        <w:pStyle w:val="Heading2"/>
      </w:pPr>
      <w:r>
        <w:t>Erwägungen</w:t>
      </w:r>
    </w:p>
    <w:p>
      <w:r>
        <w:rPr>
          <w:b/>
        </w:rPr>
        <w:t>E. 1.1</w:t>
      </w:r>
    </w:p>
    <w:p>
      <w:r>
        <w:t>Les autorités pénales vérifient d'office si elles sont compétentes et, le cas échéant, transmettent l'affaire à l'autorité compétente (art. 39 al. 1 CPP).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s'entendre sur le for, le ministère public du canton saisi en premier de la cause soumet la question sans retard et, en tout cas, avant la mise en accusation, à la Cour des plaintes du Tribunal pénal fédéral, qui tranche (art. 40 al. 2 CPP en lien avec les art. 37 LOAP et 19 du règlement du 31 août 2010 sur l'organisation du Tribunal pénal fédéral [ROTPF; RS 173.713.161]). S'agissant du délai dans lequel l'autorité requérante doit saisir la Cour de céans, il a été décidé de s'en tenir aux dix jours prévus à l'art. 396 al. 1 CPP, exception faite du cas dans lequel l'autorité requérante invoque des circonstances exceptionnelles qu'il lui incombe de spécifier (TPF 2011 94 consid. 2.2; cf. également arrêts du Tribunal pénal fédéral BG.2014.16 du 4 juillet 2014, consid. 1.1 et BG.2014.17 du 10 juillet 2014, consid. 1.1). C'est en fonction de la législation de chaque canton que l'on détermine les autorités qui sont légitimées à représenter leur canton dans le cadre de l'échange de vues ou dans la procédure devant la Cour des plaintes (art. 14 al. 4 CPP; KUHN, Commentaire bâlois, Schweizerische Strafprozessordnung, n° 9 ad art. 39 et n° 10 ad art. 40; SCHIMD, Handbuch des schweizerischen Strafprozessrechts, Zurich/Saint-Gall 2013, n° 488; GALLIANI/MARCELLINI, Codice svizzero di procedura penale, Commentario, Zurich/Saint-Gall 2010, n° 5 ad art. 40 CPP).</w:t>
      </w:r>
    </w:p>
    <w:p>
      <w:r>
        <w:rPr>
          <w:b/>
        </w:rPr>
        <w:t>E. 1.2</w:t>
      </w:r>
    </w:p>
    <w:p>
      <w:r>
        <w:t>Dans le canton de Zoug, ce rôle appartient au Procureur général ("leitender Oberstaatsanwalt"; art. 46 al. 4 et 47 de la loi sur l'organisation judiciaire et de la justice civile et pénale du canton de Zoug du 26 août 2010 [GOG/ZG; BGS 161.1]; art. 4 al. 1 et 2 de l'ordonnance sur le ministère public du 20 novembre 2007 [VO STA/ZG; BGS 161.3]). Dans le canton de Saint- Gall, la compétence revient au Procureur général d'arrondissement ("örtlich zuständiger leitender Staatsanwalt"; art. 24 de la loi sur l'organisation judiciaire en matière de droit pénal et de droit pénal des mineurs [sGS 962.1]). A Fribourg, cette tâche revient au Procureur général qui est, le cas échéant, supplée par le Procureur général adjoint (art. 68 et 135 al. 2 de la loi sur la justice [RSF 130.1]). Enfin, à Neuchâtel, tout acte d'instruction peut être délégué aux greffiers-rédacteurs du ministère public (art. 34 al. 1</w:t>
      </w:r>
    </w:p>
    <w:p>
      <w:r>
        <w:t>- 5 -</w:t>
      </w:r>
    </w:p>
    <w:p>
      <w:r>
        <w:t>de la loi d’introduction du Code de procédure pénale suisse [LI-CPP], du 27 janvier 2010).</w:t>
      </w:r>
    </w:p>
    <w:p>
      <w:r>
        <w:rPr>
          <w:b/>
        </w:rPr>
        <w:t>E. 1.3</w:t>
      </w:r>
    </w:p>
    <w:p>
      <w:r>
        <w:t>L'échange de vues a été correctement effectué. Les autorités cantonales qui ont participé à l'échange de vues, ainsi qu'à la procédure devant la Cour de céans, sont compétentes pour le faire et la requête de fixation de for a, conformément à l'art. 40 al. 2 CPP, été présentée par les autorités de poursuite pénale saisies en premier lieu. L'échange de vues entre les cantons concernés s'est terminé le 13 mai 2014 avec le courrier du MP-ZG (dossier MP-NE). Déposée auprès de la Cour de céans le 16 mai 2014, la requête l'a été dans les délais.</w:t>
      </w:r>
    </w:p>
    <w:p>
      <w:r>
        <w:rPr>
          <w:b/>
        </w:rPr>
        <w:t>E. 1.4</w:t>
      </w:r>
    </w:p>
    <w:p>
      <w:r>
        <w:t>Toutes les conditions de recevabilité de la requête en fixation de for étant à l'occurrence réalisées, il y a donc lieu d'entrer en matière sur le fond.</w:t>
      </w:r>
    </w:p>
    <w:p>
      <w:r>
        <w:rPr>
          <w:b/>
        </w:rPr>
        <w:t>E. 2</w:t>
      </w:r>
    </w:p>
    <w:p>
      <w:r>
        <w:t>Les faits décrits dans les deux plaintes pénales ont été qualifiés d'abus de confiance pour ce qui concerne la plainte de A. et d'escroquerie pour ce qui concerne la plainte de C.</w:t>
      </w:r>
    </w:p>
    <w:p>
      <w:r>
        <w:rPr>
          <w:b/>
        </w:rPr>
        <w:t>E. 2.1</w:t>
      </w:r>
    </w:p>
    <w:p>
      <w:r>
        <w:t>La Cour des plaintes n'est pas liée par l'appréciation juridique des autorités de poursuite pénale cantonales. Le for doit être fixé sur la base des soupçons actuels. Ce n'est pas ce qui sera finalement retenu contre le prévenu qui est déterminant, mais bien les faits qui lui sont reprochés ainsi que leur qualification juridique telle qu'elle ressort du dossier au moment de l'examen de la question du for (MOSER, Commentaire StPO, n° 11 ad art. 34). La fixation du for ne repose ainsi pas sur ce qui pourra être prouvé en fin de procédure, mais sur l’état de faits qui est reproché à l’intéressé dans le cadre de l’enquête menée à son encontre, à moins que cet état de faits ne paraisse d'emblée infondé ou ne soit clairement exclu (cf. décision du Tribunal pénal fédéral BG.2012.45 du 9 avril 2013, consid. 2.2). Dans ce contexte, la Cour des plaintes se fonde sur des faits et non des hypothèses (MOSER, op. cit., n° 11 ad art. 34 CPP; GUIDON/BÄNZIGER, Die aktuelle Rechtsprechung des Bundesstrafgerichts zum interkantonalen Gerichtsstand in Strafsachen, in: Jusletter 21 mai 2007, [Rz 25]).</w:t>
      </w:r>
    </w:p>
    <w:p>
      <w:r>
        <w:rPr>
          <w:b/>
        </w:rPr>
        <w:t>E. 2.2</w:t>
      </w:r>
    </w:p>
    <w:p>
      <w:r>
        <w:t>L'abus de confiance au sens de l'art. 138 ch. 1 al. 2 CP présuppose que l'auteur emploie, sans droit et à son profit, des valeurs patrimoniales qui lui ont été confiées. Une valeur patrimoniale est confiée, au sens de l'art. 138 ch. 1 al. 2 CP, si le lésé a volontairement transféré à l'auteur le pouvoir matériel et juridique d'en disposer, moyennant l'engagement exprès ou tacite de ce dernier d'en faire un usage déterminé dans l'intérêt du lésé ou</w:t>
      </w:r>
    </w:p>
    <w:p>
      <w:r>
        <w:t>- 6 -</w:t>
      </w:r>
    </w:p>
    <w:p>
      <w:r>
        <w:t>d'un tiers (cf. ATF 133 IV 21 consid. 6.2 et références citées). Le comportement délictueux consiste ainsi à utiliser les valeurs patrimoniales contrairement aux instructions reçues, en s'écartant de la destination fixée (ATF 129 IV 257 consid. 2.2.1 p. 259; arrêt du Tribunal fédéral 6B_160/2012 du 5 avril 2013, consid. 2.1). Il s'agit de tout comportement par lequel l'auteur démontre clairement sa volonté de ne pas respecter les droits de celui qui lui fait confiance (DUPUIS/GELLER/MONNIER/MOREILLON/ PIGUET/BETTEX/STOLL, Petit Commentaire CP, Code pénal, Bâle 2012, n° 40 ad art. 138 CP et références citées). Quant à l'infraction d'escroquerie, l'art. 146 al. 1 CP présuppose que l'auteur ait, dans le dessein de se procurer ou de procurer à un tiers un enrichissement illégitime, astucieusement induit en erreur une personne par des affirmations fallacieuses ou par la dissimulation de faits vrais ou qu'il l'ait astucieusement confortée dans son erreur et ait de la sorte déterminé la victime à des actes préjudiciables à ses intérêts pécuniaires ou à ceux d'un tiers.</w:t>
      </w:r>
    </w:p>
    <w:p>
      <w:r>
        <w:rPr>
          <w:b/>
        </w:rPr>
        <w:t>E. 2.3</w:t>
      </w:r>
    </w:p>
    <w:p>
      <w:r>
        <w:t>Il ressort du dossier que les deux plaintes pénales déposées à l'encontre de la société B. SA concernent des états de faits similaires. A. et C. ont tous deux confié des fonds à la société B. SA, en vue de souscrire des bons de participation de ladite société. Lorsqu'ils ont souhaité qu'ils leur soient restitués à la suite de la résiliation des rapports contractuels, cela n'a manifestement pas été possible, ou seulement partiellement. Il ressort ainsi que des montants ont été détournés par le même auteur. Ces actes, de même nature, réalisent à ce stade de la procédure les éléments constitutifs de l'infraction d'abus de confiance au sens de l'art. 138 ch. 1 al. 2 CP.</w:t>
      </w:r>
    </w:p>
    <w:p>
      <w:r>
        <w:rPr>
          <w:b/>
        </w:rPr>
        <w:t>E. 3.1</w:t>
      </w:r>
    </w:p>
    <w:p>
      <w:r>
        <w:t>Aux termes de l’art. 31 al. 1 CPP, l’autorité du lieu où l’acte a été commis est compétente pour la poursuite et le jugement de l’infraction. Si le lieu où le résultat s’est produit est seul situé en Suisse, l’autorité compétente est celle de ce lieu. Le for du lieu de commission prime tous les autres fors possibles (BARTETZKO, Commentaire StPO, n° 8 ad art. 31; SCHMID, op. cit., n° 448).</w:t>
      </w:r>
    </w:p>
    <w:p>
      <w:r>
        <w:rPr>
          <w:b/>
        </w:rPr>
        <w:t>E. 3.2</w:t>
      </w:r>
    </w:p>
    <w:p>
      <w:r>
        <w:t>L'abus de confiance est considéré par la doctrine majoritaire comme étant un délit formel consommé par l'appropriation de la chose confiée et dont le résultat, soit l'appauvrissement de la victime, n'est pas un élément constitutif distinct (NIGGLI/RIEDO, Commentaire bâlois, Bâle 2007; n° 8 ad art. 138 CP; TRECHSEL et al., Schweizerisches Strafgesetzbuch, Praxiskommentar, Zurich/Saint-Gall 2008, n° 17 ad art. 138 CP; HARARI/LINIGER GROS, Commentaire Romand, Bâle 2009, n° 33 ad art. 8</w:t>
      </w:r>
    </w:p>
    <w:p>
      <w:r>
        <w:t>- 7 -</w:t>
      </w:r>
    </w:p>
    <w:p>
      <w:r>
        <w:t>CP; cf. également décision du Tribunal pénal fédéral BG.2012.14 du 2 août 2012, consid. 3.3).</w:t>
      </w:r>
    </w:p>
    <w:p>
      <w:r>
        <w:rPr>
          <w:b/>
        </w:rPr>
        <w:t>E. 3.3</w:t>
      </w:r>
    </w:p>
    <w:p>
      <w:r>
        <w:t>A l'échéance du contrat liant A. à la société B. SA, en novembre 2012, la société a clairement manifesté sa volonté de ne pas respecter son obligation de rembourser les fonds confiés. Quant à C., à partir de janvier 2013, il a, à plusieurs reprises, requis par courriel la résiliation du contrat le liant à B. SA, ainsi que le remboursement des montants confiés. La société B. SA n'a jamais donné de réponse aux requêtes de C., montrant ainsi clairement son intention de ne pas le rembourser. En l'état, il apparaît que les agissements décrits ont eu lieu alors que B. SA avait son siège dans le canton de Zoug (Y.).</w:t>
      </w:r>
    </w:p>
    <w:p>
      <w:r>
        <w:rPr>
          <w:b/>
        </w:rPr>
        <w:t>E. 3.4</w:t>
      </w:r>
    </w:p>
    <w:p>
      <w:r>
        <w:t>Dans la mesure où, en l'espèce, le lieu de commission se trouve en Suisse, il n'y a pas lieu de tenir compte de la jurisprudence du Tribunal fédéral permettant d'admettre la compétence des autorités suisses sur la base du lieu de l'appauvrissement de la victime d'abus de confiance. En effet, cette solution vise à éviter les conflits négatifs de compétence, ce qui n'est pas pertinent en l'espèce (cf. arrêt du Tribunal fédéral 6B_178/2011 du 20 juin 2011, consid. 3.1).</w:t>
      </w:r>
    </w:p>
    <w:p>
      <w:r>
        <w:rPr>
          <w:b/>
        </w:rPr>
        <w:t>E. 3.5</w:t>
      </w:r>
    </w:p>
    <w:p>
      <w:r>
        <w:t>Par conséquent, les autorités du canton du Zoug doivent être déclarées seules compétentes pour poursuivre et juger les infractions dénoncées par A. et C. Cette solution, conforme au droit, s'impose d'autant plus que c'est vraisemblablement au siège actuel de la société B. SA, dans le canton de Zoug, que se trouvent les moyens de preuves utiles à l'enquête pénale.</w:t>
      </w:r>
    </w:p>
    <w:p>
      <w:r>
        <w:rPr>
          <w:b/>
        </w:rPr>
        <w:t>E. 4</w:t>
      </w:r>
    </w:p>
    <w:p>
      <w:r>
        <w:t>La présente décision est rendue sans frais (art. 423 al. 1 CPP).</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