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BG.2014.12 vom 7. Mai 2014</w:t>
      </w:r>
    </w:p>
    <w:p>
      <w:r>
        <w:t>Bundesstrafgericht, 2014-05-07, DE</w:t>
      </w:r>
    </w:p>
    <w:p>
      <w:r>
        <w:rPr>
          <w:b/>
        </w:rPr>
        <w:t xml:space="preserve">Quelle: </w:t>
      </w:r>
      <w:r>
        <w:t>https://mcp.opencaselaw.ch/entscheid/bstger_BG.2014.12</w:t>
      </w:r>
    </w:p>
    <w:p>
      <w:r>
        <w:t>FR: TPF BG.2014.12 du 7 mai 2014</w:t>
      </w:r>
    </w:p>
    <w:p>
      <w:r>
        <w:t>IT: TPF BG.2014.12 del 7 maggio 2014</w:t>
      </w:r>
    </w:p>
    <w:p>
      <w:pPr>
        <w:pStyle w:val="Heading2"/>
      </w:pPr>
      <w:r>
        <w:t>Regeste</w:t>
      </w:r>
    </w:p>
    <w:p>
      <w:r>
        <w:t>Gerichtsstandskonflikt (Art. 40 Abs. 2 StPO).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November 2011 erfolgte; die StA Bischofszell spätestens mit Erlass der Einstellungsverfügungen vom 25. Januar 2013 den Gerichtsstand betref- fend C. und D. konkludent anerkannte;</w:t>
      </w:r>
    </w:p>
    <w:p>
      <w:r>
        <w:t>- ein neuer wichtiger Grund für eine nachträgliche Änderung des Gerichts- standes im Sinne von Art. 42 Abs. 3 StPO nicht ersichtlich ist;</w:t>
      </w:r>
    </w:p>
    <w:p>
      <w:r>
        <w:t>- nach dem Gesagten die Strafverfolgungsbehörden des Kantons Thurgau für berechtigt und verpflichtet zu erklären sind, die den Beschuldigten zur Last gelegten Delikte zu verfolgen und zu beurteilen;</w:t>
      </w:r>
    </w:p>
    <w:p>
      <w:r>
        <w:t>- 4 -</w:t>
      </w:r>
    </w:p>
    <w:p>
      <w:r>
        <w:t>- keine Gerichtskosten zu erheben sind (Art. 423 Abs. 1 StPO).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