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BG.2014.10 vom 10. Juni 2014</w:t>
      </w:r>
    </w:p>
    <w:p>
      <w:r>
        <w:t>Bundesstrafgericht, 2014-06-10, DE</w:t>
      </w:r>
    </w:p>
    <w:p>
      <w:r>
        <w:rPr>
          <w:b/>
        </w:rPr>
        <w:t xml:space="preserve">Quelle: </w:t>
      </w:r>
      <w:r>
        <w:t>https://mcp.opencaselaw.ch/entscheid/bstger_BG.2014.10</w:t>
      </w:r>
    </w:p>
    <w:p>
      <w:r>
        <w:t>FR: TPF BG.2014.10 du 10 juin 2014</w:t>
      </w:r>
    </w:p>
    <w:p>
      <w:r>
        <w:t>IT: TPF BG.2014.10 del 10 giugno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w:t>
      </w:r>
    </w:p>
    <w:p>
      <w:r>
        <w:rPr>
          <w:b/>
        </w:rPr>
        <w:t>E. 1.2</w:t>
      </w:r>
    </w:p>
    <w:p>
      <w:r>
        <w:t>Die Staatsanwaltschaft Basel-Stadt ist berechtigt, den Gesuchsteller bei in- terkantonalen Gerichtsstandskonflikten vor der Beschwerdekammer zu ver- treten (Art. 40 Abs. 2 StPO i.V.m. § 49 Abs. 2 des Gesetzes betreffend Wahl und Organisation der Gerichte sowie der Arbeitsverhältnisse des Ge- richtspersonals und der Staatsanwaltschaft des Kantons Basel-Stadt vom 27. Juni 1895 [Gerichtsorganisationsgesetz, GOG/BS; SG 154.100]). Auf Seiten der Gesuchsgegner steht diese Befugnis dem Oberstaatsanwalt des Kantons Solothurn (§ 73 Abs. 1 des Gesetzes über die Gerichtsorganisati- on des Kantons Solothurn vom 13. März 1977 [GO/SO; BGS 125.12]) und der Oberstaatsanwaltschaft des Kantons Zürich zu (§ 107 Abs. 1 lit. b des Gesetzes über die Gerichts- und Behördenorganisation im Zivil- und Straf-</w:t>
      </w:r>
    </w:p>
    <w:p>
      <w:r>
        <w:t>- 4 -</w:t>
      </w:r>
    </w:p>
    <w:p>
      <w:r>
        <w:t>prozess des Kantons Zürich vom 10. Mai 2010 [GOG/ZH; LS 211.1]). Die übrigen Eintretensvoraussetzungen geben zu keinen weiteren Bemerkun- 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 zustellen bzw. das schwerere Delikt anzunehmen ist (vgl. zuletzt u. a. die Beschlüsse des Bundesstrafgerichts BG.2014.6 vom 21. März 2014, E. 2.4; BG.2013.18 vom 20. August 2013, E. 2.1; BG.2013.15 vom 27. Juni 2013, E. 2; jeweils m.w.H.).</w:t>
      </w:r>
    </w:p>
    <w:p>
      <w:r>
        <w:rPr>
          <w:b/>
        </w:rPr>
        <w:t>E. 2.2.1</w:t>
      </w:r>
    </w:p>
    <w:p>
      <w:r>
        <w:t>Hauptgegenstand der Untersuchung bildet eine Reihe von Delikten gegen die sexuelle Integrität, welche der Beschuldigte B. zum Nachteil von A. ver- übt haben soll. Zwischen den Parteien ist insbesondere die rechtliche Qua- lifikation eines Vorfalls, der sich im Jahr 2010 in Z. (Kanton Solothurn) er- eignet haben soll, umstritten. Der Gesuchsteller sieht darin zusammen mit dem Gesuchsgegner 2 eine gegenüber den anderen Vorfällen mit schwere- rer Strafe bedrohte Vergewaltigung bzw. Schändung. Der Gesuchsgegner 1 hält demgegenüber dafür, dass die sich zeitlich vorher im Kanton Zürich ereigneten Vorfälle als sexuelle Nötigungen zu qualifizieren seien, weshalb diese mit gleicher Strafe bedroht seien wie eine allfällige Schändung.</w:t>
      </w:r>
    </w:p>
    <w:p>
      <w:r>
        <w:rPr>
          <w:b/>
        </w:rPr>
        <w:t>E. 2.2.2</w:t>
      </w:r>
    </w:p>
    <w:p>
      <w:r>
        <w:t>Hinsichtlich des Vorfalls in Z. können den bisher vorliegenden Akten ledig- lich die Aussagen der Geschädigten A. entnommen werden (Akten BS,</w:t>
      </w:r>
    </w:p>
    <w:p>
      <w:r>
        <w:t>- 5 -</w:t>
      </w:r>
    </w:p>
    <w:p>
      <w:r>
        <w:t>pag. 57 f.). Demzufolge habe der Beschuldigte B. ihr verschiedene Schlaf- tabletten verabreicht. Sie sei um 22 Uhr ins Bett gegangen und habe bis 10 Uhr morgens geschlafen. Zum Sexualdelikt selbst führte sie aus: "Also ich war kurz wach. Er kam zu mir. Er umarmte mich, ich weiss bis heute nicht, was er alles genau mit mir gemacht hat." Angesprochen auf den Vor- halt, sie habe ihrer Chefin vor mehreren Monaten gesagt, sie sei von ihrem Stiefvater vor einiger Zeit vergewaltigt worden, führte A. aus: "Ja, also ich weiss nicht, ich habe Frau C. gesagt, ich sei sexuell belästigt worden und quasi wie vergewaltigt. Aber das weiss ich doch nicht, ich habe ja Tabletten eingenommen und geschlafen, ich weiss nicht, was er alles gemacht hat, also ich weiss nicht, ob er mich vergewaltigt hat. Es war, als ich 16 Jahre alt war". Vorgängig beschuldigte A. B., er habe schon zwischen ihrem 9. und ihrem 13. Lebensjahr im Kanton Zürich an ihr sexuelle Handlungen verübt (Akten BS, pag. 55).</w:t>
      </w:r>
    </w:p>
    <w:p>
      <w:r>
        <w:rPr>
          <w:b/>
        </w:rPr>
        <w:t>E. 2.2.3</w:t>
      </w:r>
    </w:p>
    <w:p>
      <w:r>
        <w:t>Der sexuellen Nötigung macht sich schuldig, wer eine Person zur Duldung einer beischlafsähnlichen oder einer anderen sexuellen Handlung nötigt, namentlich indem er sie bedroht, Gewalt anwendet, sie unter psychischen Druck setzt oder zum Widerstand unfähig macht (Art. 189 Abs. 1 StGB). Nach Art. 190 Abs. 1 StGB wird wegen Vergewaltigung bestraft, wer eine Person weiblichen Geschlechts zur Duldung des Beischlafs nötigt. Einer Schändung macht sich hingegen schuldig, wer eine urteilsunfähige oder ei- ne zum Widerstand unfähige Person in Kenntnis ihres Zustandes zum Bei- schlaf, zu einer beischlafsähnlichen oder einer anderen sexuellen Hand- lung missbraucht (Art. 191 StGB).</w:t>
      </w:r>
    </w:p>
    <w:p>
      <w:r>
        <w:rPr>
          <w:b/>
        </w:rPr>
        <w:t>E. 2.2.4</w:t>
      </w:r>
    </w:p>
    <w:p>
      <w:r>
        <w:t>Hinsichtlich des im Vordergrund stehenden Vorfalls ist für die Bestimmung des Gerichtsstandes auszugehen, dass B. sein weibliches Opfer durch Ve- rabreichen von Medikamenten zum Widerstand unfähig gemacht hat. Un- klar bleibt auf Grund der aktuellen Lage, ob er dadurch das Opfer zur Dul- dung des Beischlafs nötigte. Als Beischlaf im Sinne von Art. 190 Abs. 1 StGB gilt die naturgemässe Vereinigung der Geschlechtsteile, wobei es unerheblich ist, wieweit das männliche Glied in den weiblichen Ge- schlechtsteil eindringt und ob der Same in die Scheide ausgestossen wird (BGE 99 IV 151 E. 1 S. 152 f.). Daran, ob es zum Beischlaf gekommen ist, kann sich A. auf Grund ihrer damaligen Betäubung nicht erinnern. Sie sei nur kurz wach gewesen. Diesbezüglich könne sie sich daran erinnern, dass B. zu ihr gekommen sei und sie umarmt habe. Was er aber alles genau mit ihr gemacht habe, wisse sie bis heute nicht. Immerhin aber hielt sie Bezug nehmend auf diesen Vorfall ebenso fest, sie sei sexuell belästigt und quasi wie vergewaltigt worden. Dass diese ersten Aussagen alleine für eine Ver- urteilung wegen Vergewaltigung am Ende des Verfahrens nicht ausreichen,</w:t>
      </w:r>
    </w:p>
    <w:p>
      <w:r>
        <w:t>- 6 -</w:t>
      </w:r>
    </w:p>
    <w:p>
      <w:r>
        <w:t>ändert nichts daran, dass bei der Festlegung des Gerichtsstandes ent- scheidet, welche Straftat aufgrund der Aktenlage überhaupt in Frage kommt. Angesichts der bereits zuvor mehrfach begangenen sexuellen Handlungen zum Nachteil von A. kann im Sinne des hier anzuwendenden Grundsatzes in dubio pro duriore demnach nicht ausgeschlossen werden, dass es bei jenem Vorfall in Z. zu einer Vergewaltigung im Sinne von Art. 190 Abs. 1 StGB gekommen ist. Da dieser Vorwurf die mit der schwersten Strafe bedrohte Tat darstellt, liegt der gesetzliche Gerichts- stand vorliegend im Kanton Solothurn (Art. 34 Abs. 1 StPO).</w:t>
      </w:r>
    </w:p>
    <w:p>
      <w:r>
        <w:rPr>
          <w:b/>
        </w:rPr>
        <w:t>E. 3</w:t>
      </w:r>
    </w:p>
    <w:p>
      <w:r>
        <w:t>Ein Abweichen vom gesetzlichen Gerichtsstand drängt sich nicht auf. Das Gesuch erweist sich daher als begründet und es sind die Strafbehörden des Gesuchsgegners 1 für berechtigt und verpflichtet zu erklären, die B. zur Last gelegten Delikte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