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BG.2013.32 vom 27. Februar 2014</w:t>
      </w:r>
    </w:p>
    <w:p>
      <w:r>
        <w:t>Bundesstrafgericht, 2014-02-27, DE</w:t>
      </w:r>
    </w:p>
    <w:p>
      <w:r>
        <w:rPr>
          <w:b/>
        </w:rPr>
        <w:t xml:space="preserve">Quelle: </w:t>
      </w:r>
      <w:r>
        <w:t>https://mcp.opencaselaw.ch/entscheid/bstger_BG.2013.32</w:t>
      </w:r>
    </w:p>
    <w:p>
      <w:r>
        <w:t>FR: TPF BG.2013.32 du 27 février 2014</w:t>
      </w:r>
    </w:p>
    <w:p>
      <w:r>
        <w:t>IT: TPF BG.2013.32 del 27 febbraio 2014</w:t>
      </w:r>
    </w:p>
    <w:p>
      <w:pPr>
        <w:pStyle w:val="Heading2"/>
      </w:pPr>
      <w:r>
        <w:t>Regeste</w:t>
      </w:r>
    </w:p>
    <w:p>
      <w:r>
        <w:t>Gerichtsstandskonflikt (Art. 40 Abs. 2 StPO).</w:t>
      </w:r>
    </w:p>
    <w:p>
      <w:pPr>
        <w:pStyle w:val="Heading2"/>
      </w:pPr>
      <w:r>
        <w:t>Erwägungen</w:t>
      </w:r>
    </w:p>
    <w:p>
      <w:r>
        <w:rPr>
          <w:b/>
        </w:rPr>
        <w:t>E. 2</w:t>
      </w:r>
    </w:p>
    <w:p>
      <w:r>
        <w:t>Der Kanton Zug beantragt Nichteintreten mit der Begründung, dass erstens kein vollständiger Meinungsaustausch stattgefunden habe und zweitens der Gerichtsstandskonflikt verspätet anhängig gemacht worden sei. Der Kanton St. Gallen soll nur mit der kantonsintern für Gerichtsstandskonflikte nicht zuständigen Staatsanwaltschaft Schwyz verkehrt sowie die Staatsan- waltschaft Appenzell Ausserrhoden nicht in den Meinungsaustausch einbe- zogen haben, obschon sich dies aufgrund des Sachverhalts aufgedrängt hätte. Im Übrigen sei die nachträgliche Gerichtsstandsanfrage mit dem Kanton Schwyz dem Kanton Zug nicht mitgeteilt worden.</w:t>
      </w:r>
    </w:p>
    <w:p>
      <w:r>
        <w:rPr>
          <w:b/>
        </w:rPr>
        <w:t>E. 2.1</w:t>
      </w:r>
    </w:p>
    <w:p>
      <w:r>
        <w:t>Die für ausserkantonale Gerichtsstandsfragen zuständige Stv. Leitende Staatsanwältin des Kantons St. Gallen hat mit ihrer Anfrage die Staatsan-</w:t>
      </w:r>
    </w:p>
    <w:p>
      <w:r>
        <w:t>- 5 -</w:t>
      </w:r>
    </w:p>
    <w:p>
      <w:r>
        <w:t>waltschaft Innerschwyz angegangen und sich mit deren abschlägiger Ant- wort begnügt. Damit hat sich im Verfahren zwischen den Kantonen für den Kanton Schwyz nicht seine für interkantonale Gerichtsstandsanerken- nungen zuständige Behörde im Meinungsaustausch geäussert. Gemäss § 48 lit. e der Justizverordnung des Kantons Schwyz vom 18. Novem- ber 2009 (SRSZ 231.110) ist dafür nämlich die Oberstaatsanwaltschaft Schwyz zuständig (auch R. ARN/N. SAURER/A. KUHN, Organisation der kan- tonalen und eidgenössischen Strafbehörden und strafrechtliche Ausfüh- rungsbestimmungen, Basel 2001, S. 475, N 23). Solange jene Behörde, die vom kantonalen Recht für die Behandlung der interkantonalen Gerichtsstandskonflikte als zuständig bezeichnet wird, nicht angegangen worden ist und sich nicht ausgesprochen hat, liegt noch kein endgültiger Gerichtsstandskonflikt vor und kann die Beschwerdekammer nicht angeru- fen werden, um den interkantonalen Gerichtsstand zu bestimmen (SCHWERI/BÄNZIGER, a.a.O., N 564 f.; auch Beschluss des Bundesstrafge- richts BG.2013.26 vom 16. Januar 2014, E. 1.2, mit Verweis auf weitere Beschlüsse). Somit fehlt es an einem ordnungsgemäss abgeschlossenen Meinungsaustausch. Dies führt zum Nichteintreten auf das Gesuch. Die Stellungnahme der dafür zuständigen Oberstaatsanwaltschaft Schwyz im Verfahren vor Bundesstrafgericht hat keine salvatorische Wirkung, würde doch dadurch de facto auf das Erfordernis des abgeschlossenen und ge- scheiterten Meinungsaustauschs verzichtet.</w:t>
      </w:r>
    </w:p>
    <w:p>
      <w:r>
        <w:rPr>
          <w:b/>
        </w:rPr>
        <w:t>E. 2.2</w:t>
      </w:r>
    </w:p>
    <w:p>
      <w:r>
        <w:t>Sodann rügt der Kanton Zug weiter und zu Recht, dass er vor Anhängig- machung des Gerichtsstandsstreits beim Bundesstrafgericht über die An- frage an den Kanton Schwyz hätte informiert werden müssen. Erfolgt nach der abschliessenden Antwort eines Kantons (Zug) eine zeitlich spätere Gerichtsstandsanfragen an einen anderen Kanton (Schwyz) und soll schliesslich doch der erst angefragte Kanton für zuständig erklärt werden, so muss diesem die Zweitanfrage und -antwort offen gelegt werden. Damit ist er in der Lage, seine frühere Stellungnahme zu überdenken und noch- mals in Kenntnis der eventuell für ihn neuen Sachlage Stellung zu nehmen. Sein Entscheid soll in Kenntnis sämtlicher Stellungnahmen der zuständigen Staatsanwaltschaften aller angesprochenen Kantone erfolgen. Dass dies unter Umständen zu einer zweiten Runde von Gerichtsstandsanfragen füh- ren kann, ist hinzunehmen (auch SCHWERI/BÄNZIGER, a.a.O., N 567). Wer- den die betroffenen Kantone dergestalt angegangen, ergibt sich auch Klar- heit hinsichtlich der im Normalfall 10 Tage betragenden Frist (vgl. TPF 2011 94) für die Anrufung des Bundesstrafgerichts. Es kann dann auf das Datum der letzten Antwort für die Fristauslösung abgestellt werden.</w:t>
      </w:r>
    </w:p>
    <w:p>
      <w:r>
        <w:t>- 6 -</w:t>
      </w:r>
    </w:p>
    <w:p>
      <w:r>
        <w:rPr>
          <w:b/>
        </w:rPr>
        <w:t>E. 2.3</w:t>
      </w:r>
    </w:p>
    <w:p>
      <w:r>
        <w:t>Schliesslich führt als weiteres Element zum Nichteintreten, dass der Kanton Appenzell Ausserrhoden hinsichtlich der Zuständigkeitsfrage nicht ange- gangen worden ist. Die beteiligten Kantone sind stillschweigend (und zu Recht) davon ausgegangen, dass vom Verdacht für gewerbsmässigen Be- trug gemäss Art. 146 Abs. 2 StGB als schwerstem Delikt auszugehen ist, weshalb einzig der Fall A. AG/B. AG zuständigkeitsbestimmend ist. Zwi- schen den Kantonen ist nun strittig, worin denn die Tathandlung des ge- werbsmässigen Betruges genau liegen soll, bzw. präziser, mit welchen Handlungen dieser begonnen worden sein soll. Konkret geht es darum, ob die Betrugshandlung bereits mit dem Abschluss des Factoring Vertrages mit mutmasslicher Unterzeichnung durch C. für die B. AG im Kanton Zug in der vorbestehenden Absicht, diesen Vertrag als Instrument für die an- schliessend eingereichten, wohl fingierten Rechnungen zu benutzen, be- gannen oder ob erst das jeweilige Einreichen dieser Rechnungen den Be- ginn der jeweiligen Betrugshandlung markiert. Die Frage einer eventuellen Tathandlung im Kanton Appenzell Ausserrhoden konnte damit vernünfti- gerweise nicht ausgeklammert werden. Die fünf Rechnungsanerkennungen durch die E. AG - Voraussetzung dafür, dass die Rechnungen durch die A. AG an die B. AG vergütet wurden - sind von einer Frau P. unterzeichnet und als Ort der Unterzeichnung wird in drei Fällen W. (Kanton Appenzell Ausserrhoden) angegeben (SG Doss. S 1; act. S 1.13 - 15). Obschon der Firmenstempel der E. AG mit Sitz in W. (Kanton Appenzell Ausserrhoden) als Vorwahl die Nr. 041 (Zug) trägt, ist ein Handlungsanteil an der Straftat im Kanton Appenzell Ausserrhoden nicht a priori ausgeschlossen. Entspre- chend war der Meinungsaustausch auch diesbezüglich nicht vollständig.</w:t>
      </w:r>
    </w:p>
    <w:p>
      <w:r>
        <w:rPr>
          <w:b/>
        </w:rPr>
        <w:t>E. 2.4</w:t>
      </w:r>
    </w:p>
    <w:p>
      <w:r>
        <w:t>Daraus ergibt sich, dass mangels eines mängelfreien und vollständigen Austauschs über den Gerichtsstand mit sämtlichen in Frage kommenden Kantonen auf das Gesuch nicht einzutreten ist.</w:t>
      </w:r>
    </w:p>
    <w:p>
      <w:r>
        <w:rPr>
          <w:b/>
        </w:rPr>
        <w:t>E. 3</w:t>
      </w:r>
    </w:p>
    <w:p>
      <w:r>
        <w:t>Es sind keine Gerichtskosten zu erheben (Art. 423 Abs. 1 StPO).</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