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BG.2013.30 vom 17. Dezember 2013</w:t>
      </w:r>
    </w:p>
    <w:p>
      <w:r>
        <w:t>Bundesstrafgericht, 2013-12-17, DE</w:t>
      </w:r>
    </w:p>
    <w:p>
      <w:r>
        <w:rPr>
          <w:b/>
        </w:rPr>
        <w:t xml:space="preserve">Quelle: </w:t>
      </w:r>
      <w:r>
        <w:t>https://mcp.opencaselaw.ch/entscheid/bstger_BG.2013.30</w:t>
      </w:r>
    </w:p>
    <w:p>
      <w:r>
        <w:t>FR: TPF BG.2013.30 du 17 décembre 2013</w:t>
      </w:r>
    </w:p>
    <w:p>
      <w:r>
        <w:t>IT: TPF BG.2013.30 del 17 dicembre 2013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Dezember 2013 sich gegenüber der Beschwerdekammer und den be- teiligten Kantonen als zuständig erklärt und den streitigen Gerichtsstand anerkannt hat (act. 3);</w:t>
      </w:r>
    </w:p>
    <w:p>
      <w:r>
        <w:t>– das Gerichtsstandsverfahren demnach gegenstandslos geworden und von der Geschäftskontrolle abzuschreiben ist;</w:t>
      </w:r>
    </w:p>
    <w:p>
      <w:r>
        <w:t>– in diesem Verfahren keine Kosten zu erheben sind (Art. 423 Abs. 1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