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BG.2013.3 vom 29. April 2013</w:t>
      </w:r>
    </w:p>
    <w:p>
      <w:r>
        <w:t>Bundesstrafgericht, 2013-04-29, DE</w:t>
      </w:r>
    </w:p>
    <w:p>
      <w:r>
        <w:rPr>
          <w:b/>
        </w:rPr>
        <w:t xml:space="preserve">Quelle: </w:t>
      </w:r>
      <w:r>
        <w:t>https://mcp.opencaselaw.ch/entscheid/bstger_BG.2013.3</w:t>
      </w:r>
    </w:p>
    <w:p>
      <w:r>
        <w:t>FR: TPF BG.2013.3 du 29 avril 2013</w:t>
      </w:r>
    </w:p>
    <w:p>
      <w:r>
        <w:t>IT: TPF BG.2013.3 del 29 aprile 2013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w:t>
      </w:r>
    </w:p>
    <w:p>
      <w:r>
        <w:t>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Zürich/St. Gallen 2010, n. 5 ad art. 40 CPP).</w:t>
      </w:r>
    </w:p>
    <w:p>
      <w:r>
        <w:rPr>
          <w:b/>
        </w:rPr>
        <w:t>E. 1.2</w:t>
      </w:r>
    </w:p>
    <w:p>
      <w:r>
        <w:t>Die Generalstaatsanwaltschaft des Kantons Freiburg ist berechtigt, den Gesuchsteller in interkantonalen Gerichtsstandskonflikten vor der Be- schwerdekammer des Bundesstrafgerichts zu vertreten (Art. 135 Abs. 2 des Justizgesetzes des Kantons Freiburg vom 31. Mai 2010 [JG, FR 130.1]). Im Kanton Zürich steht diese Befugnis der Oberstaatsanwalt- schaft zu (§ 107 Abs. 1 lit. b des Gesetzes über die Gerichts- und Behör- denorganisation im Zivil- und Strafprozess des Kantons Zürich vom 10. Mai 2010 [GOG/ZH; LS 211.1]). Die übrigen Eintretensvoraus- setzungen geben vorliegend zu keinen weiteren Bemerkungen Anlass, weshalb auf das Gesuch einzutreten ist.</w:t>
      </w:r>
    </w:p>
    <w:p>
      <w:r>
        <w:rPr>
          <w:b/>
        </w:rPr>
        <w:t>E. 2.1</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Sind noch an keinem der Tatorte Ver- folgungshandlungen vorgenommen worden und besteht überdies in keinem dieser Kantone ein Schwergewicht der deliktischen Tätigkeit, ist darauf ab- zustellen, wo die beschuldigte Person das erste Delikt begangen hat (vgl. BGE 128 IV 216).</w:t>
      </w:r>
    </w:p>
    <w:p>
      <w:r>
        <w:rPr>
          <w:b/>
        </w:rPr>
        <w:t>E. 2.2</w:t>
      </w:r>
    </w:p>
    <w:p>
      <w:r>
        <w:t>A. wird vorgeworfen in den Kantonen Freiburg und Zürich verschiedene Einbruchsdiebstähle begangen zu haben. Den ersten soll er in der Nacht vom 14. auf den 15. März 2011 im Kanton Freiburg verübt haben. Mit Ge- richtsstandsanerkennung vom 4. August 2011 bestätigte der Gesuchsteller erstmals die Übernahme des Verfahrens vom Gesuchsgegner gegen A. wegen Diebstahls etc. Die Verfahrensübernahme erfolgte gestützt auf Art. 344 Abs. 1 aStGB (die Bestimmung ist neu in Art. 34 Abs. 1 StPO ent- halten). Der Gesuchsteller und der Gesuchsgegner sind bei der Bestim- mung des Gerichtsstandes davon ausgegangen, dass das schwerste A. zur</w:t>
      </w:r>
    </w:p>
    <w:p>
      <w:r>
        <w:t>Last gelegte Delikt in beiden Kantonen Diebstahl sei, und bei der Festle- gung des Gerichtsstandes der Begehungsort des ersten Delikts massgeb- lich sei. Da der Begehungsort des ersten A. vorgeworfenen Diebstahls im Kanton Freiburg liegt, hat der Gesuchsteller das Verfahren des Gesuchs- gegners gegen A. übernommen. In der Folge hat der Gesuchsteller suk- zessiv weitere gegen A. im Kanton Zürich eingeleitete Verfahren gestützt auf Art. 34 Abs. 1 StPO übernommen.</w:t>
      </w:r>
    </w:p>
    <w:p>
      <w:r>
        <w:t>Im Gesuch vom 8. März 2013 führt der Gesuchsteller sinngemäss aus, dass der bereits festgelegte Gerichtsstand aus neuen wichtigen Gründen im Sinne von Art. 42 Abs. 3 StPO zu ändern sei. Namentlich hätte bereits vor Gerichtsstandsanerkennung der Gesuchgegner gegen A. ein Verfahren wegen bandenmässigem Diebstahls und der Gesuchsteller nur wegen ein- fachen Diebstahls geführt, weswegen gestützt auf Art. 34 Abs. 1 StPO der Gerichtsstand in Zürich anzusiedeln wäre. Zudem werden seit der ersten Gerichtsstandsanerkennung A. weitere Einbruchdiebstähle im Kanton Zü- rich vorgeworfen. Von den insgesamt 34 zu untersuchenden Einbruchs- diebstählen seien 9 im Kanton Freiburg und 25 im Kanton Zürich begangen worden. Das Schwergewicht habe sich somit in den Kanton Zürich ver- schoben.</w:t>
      </w:r>
    </w:p>
    <w:p>
      <w:r>
        <w:rPr>
          <w:b/>
        </w:rPr>
        <w:t>E. 2.3</w:t>
      </w:r>
    </w:p>
    <w:p>
      <w:r>
        <w:t>Ein bereits nach den Artikeln 38 – 41 StPO festgelegter Gerichtsstand kann nur aus neuen wichtigen Gründen und nur vor der Anklageerhebung geän- dert werden (Art. 42 Abs. 3 StPO). Als solche wichtigen Gründe kommen namentlich in Frage: die Ermessensüberschreitung durch die Kantone beim Abweichen vom gesetzlichen Gerichtsstand und das Fehlen eines Anknüp- fungspunktes beim verfolgenden Kanton oder das Auftauchen neuer Tat- sachen, nach welchen sich aus verfahrensökonomischen Gründen ein Wechsel des Gerichtsstands gebieterisch aufdrängt (vgl. hierzu KUHN, a.a.O., Art. 42 StPO N. 8 m.w.H.). Nach der Praxis liegen keine Gründe für eine Neubeurteilung vor, wenn ein Teil der in die Untersuchung einbezoge- nen Handlungen aus der Strafverfolgung ausscheidet, die verfolgten Hand- lungen nachträglich rechtlich anders gewürdigt werden, weitere gleichartige Delikte dazukommen oder wenn die Untersuchung kurz vor dem Abschluss steht. Die nachträgliche Änderung wurde demgegenüber angeordnet, wenn die Gerichtsstandsanerkennung auf einem Irrtum beruhte, der einen Revi- sionsgrund darstellen würde, oder wenn trotz hängigen Strafverfahren we- gen massiv schwererer Delikte die Zuständigkeit anerkannt wird, oder die neuen Delikte schwerer wiegen und ein deutlich anderes Schwergewicht ergeben (siehe KUHN, a.a.O., Art. 42 StPO N. 9 m.w.H.). Gemäss konstan- ter Praxis kann von einem Schwergewicht ausgegangen werden, wenn mehr als zwei Drittel einer grösseren Anzahl von Straftaten auf einen einzi- gen Kanton entfallen (BGE 129 IV 202 E. 2 S. 203; siehe zuletzt auch den</w:t>
      </w:r>
    </w:p>
    <w:p>
      <w:r>
        <w:t>Beschluss des Bundesstrafgerichts BG.2011.25 vom 28. September 2011, E. 3.2). Fehlt es bereits an einer grösseren Zahl der in Frage stehenden Fälle, so drängt sich eine Änderung des Gerichtsstandes - nicht anders als bei der Rechtsprechung zu Art. 38 Abs. 1 StPO - nicht auf, sofern nicht wei- tere triftige prozessökonomische Gesichtspunkte ernsthaft in Betracht ge- zogen werden müssen (vgl. Beschluss des Bundesstrafgerichts BG.2012.15 vom 23. Mai 2012, E. 3.1, zur Publikation Vorgesehen in TPF 2012 66).</w:t>
      </w:r>
    </w:p>
    <w:p>
      <w:r>
        <w:rPr>
          <w:b/>
        </w:rPr>
        <w:t>E. 2.4</w:t>
      </w:r>
    </w:p>
    <w:p>
      <w:r>
        <w:t>Indem der Gesuchsteller geltend macht, dass A. seit der ersten Gerichts- standsanerkennung weitere Diebstähle mit Begehungsort im Kanton Zürich vorgeworfen werden und sich das Schwergewicht dadurch in den Kanton Zürich verschoben habe, verkennt er, dass das Dazukommen von weiteren gleichartigen Delikten gemäss obzitierter Praxis für sich allein keinen neuen wichtigen Grund im Sinne von Art. 42 Abs. 3 StPO darstellt. Auch Schwer- gewichtsüberlegungen ändern nichts an dieser Tatsache. Vorliegend kann eine Anzahl von 34 Delikten zwar als erheblich und im Sinne der allgemei- nen Gerichtsstandsrechtsprechung als mittlere Anzahl bezeichnet werden. Angesichts der lediglich mittleren Gesamtdeliktszahl müssen jedoch für ei- ne nachträgliche Änderung des Gerichtsstandes noch weitere wichtige Gründe gegeben sein, welche vorliegend nicht aufgezeigt werden. Viel- mehr überwiegen die Gründe für eine Beibehaltung, insbesondere die Pro- zessökonomie.</w:t>
      </w:r>
    </w:p>
    <w:p>
      <w:r>
        <w:t>Die heutige – nachträgliche – Würdigung eines Teils der im Kanton Zürich begangenen Delikte als bandenmässiger statt einfacher Diebstahl bildet ei- ne andere rechtliche Würdigung, welcher im heutigen Zeitpunkt entgegen Art. 34 Abs. 1 StPO keine Gerichtsstandsrelevanz mehr zukommt.</w:t>
      </w:r>
    </w:p>
    <w:p>
      <w:r>
        <w:rPr>
          <w:b/>
        </w:rPr>
        <w:t>E. 3</w:t>
      </w:r>
    </w:p>
    <w:p>
      <w:r>
        <w:t>Nach dem Gesagten erweist sich das Gesuch als unbegründet und es sind die Strafverfolgungsbehörden des Gesuchstellers für berechtigt und ver- pflichtet zu erklären, die A. zur Last gelegten Straftaten zu verfolgen und zu beurteilen.</w:t>
      </w:r>
    </w:p>
    <w:p>
      <w:r>
        <w:rPr>
          <w:b/>
        </w:rPr>
        <w:t>E. 4</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